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3BCE5"/>
          <w:sz w:val="40"/>
        </w:rPr>
        <w:t>Tender Intake Report (Pre-Bid)</w:t>
      </w:r>
    </w:p>
    <w:p>
      <w:r>
        <w:rPr>
          <w:i/>
          <w:sz w:val="22"/>
        </w:rPr>
        <w:t>Tender Lab Automation Line - Project description — 13.12.2024 (Insel Gruppe AG, Berne, Switzerland)</w:t>
      </w:r>
    </w:p>
    <w:p>
      <w:r>
        <w:t>Generated: 2026-02-01 19:12</w:t>
      </w:r>
    </w:p>
    <w:p/>
    <w:p>
      <w:pPr>
        <w:pStyle w:val="CustomHeading1"/>
      </w:pPr>
      <w:r>
        <w:rPr>
          <w:b/>
          <w:color w:val="33BCE5"/>
        </w:rPr>
        <w:t>1. Executive Summary</w:t>
      </w:r>
    </w:p>
    <w:p>
      <w:pPr>
        <w:pStyle w:val="ListBullet"/>
      </w:pPr>
      <w:r>
        <w:t>Scope: turnkey Lab Automation Line replacement including full responsibility for system integration and third-party coordination.</w:t>
      </w:r>
    </w:p>
    <w:p>
      <w:pPr>
        <w:pStyle w:val="ListBullet"/>
      </w:pPr>
      <w:r>
        <w:t>Critical constraints: replacement during ongoing operations; fixed sample collection area; strict space boundaries across INO F and INO E; mandatory biobank connection.</w:t>
      </w:r>
    </w:p>
    <w:p>
      <w:pPr>
        <w:pStyle w:val="ListBullet"/>
      </w:pPr>
      <w:r>
        <w:t>Key milestones identified: contract in 2Q2025, middleware/training from 3Q2025, installation start January 2026.</w:t>
      </w:r>
    </w:p>
    <w:p>
      <w:pPr>
        <w:pStyle w:val="ListBullet"/>
      </w:pPr>
      <w:r>
        <w:t>Pre-bid recommendation: GO with Mitigation (complexity 61/100). Focus on early feasibility checks and integration responsibilities.</w:t>
      </w:r>
    </w:p>
    <w:p>
      <w:pPr>
        <w:pStyle w:val="CustomHeading1"/>
      </w:pPr>
      <w:r>
        <w:rPr>
          <w:b/>
          <w:color w:val="33BCE5"/>
        </w:rPr>
        <w:t>2. Key Deadlines &amp; Milestones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bce5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fill="33bce5"/>
          </w:tcPr>
          <w:p>
            <w:r/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2880"/>
            <w:shd w:fill="33bce5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Contract signature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2Q2025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Middleware configuration &amp; training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from 3Q2025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Installation 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January 2026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p.5</w:t>
            </w:r>
          </w:p>
        </w:tc>
      </w:tr>
    </w:tbl>
    <w:p>
      <w:pPr>
        <w:pStyle w:val="CustomHeading1"/>
      </w:pPr>
      <w:r>
        <w:rPr>
          <w:b/>
          <w:color w:val="33BCE5"/>
        </w:rPr>
        <w:t>3. Requirements &amp; Constraints (Extracted)</w:t>
      </w:r>
    </w:p>
    <w:p>
      <w:pPr>
        <w:pStyle w:val="CustomHeading2"/>
      </w:pPr>
      <w:r>
        <w:rPr>
          <w:b/>
          <w:color w:val="F3B08F"/>
        </w:rPr>
        <w:t>Project scope &amp; responsibility</w:t>
      </w:r>
    </w:p>
    <w:p>
      <w:pPr>
        <w:pStyle w:val="ListBullet"/>
      </w:pPr>
      <w:r>
        <w:t>Bidder responsible for entire system; delivers a turnkey system; third-party providers contracted directly by bidder.</w:t>
      </w:r>
      <w:r>
        <w:rPr>
          <w:i/>
        </w:rPr>
        <w:t xml:space="preserve"> (p.2)</w:t>
      </w:r>
    </w:p>
    <w:p>
      <w:pPr>
        <w:pStyle w:val="ListBullet"/>
      </w:pPr>
      <w:r>
        <w:t>Project description is evaluated as part of bids.</w:t>
      </w:r>
      <w:r>
        <w:rPr>
          <w:i/>
        </w:rPr>
        <w:t xml:space="preserve"> (p.2)</w:t>
      </w:r>
    </w:p>
    <w:p>
      <w:pPr>
        <w:pStyle w:val="CustomHeading2"/>
      </w:pPr>
      <w:r>
        <w:rPr>
          <w:b/>
          <w:color w:val="F3B08F"/>
        </w:rPr>
        <w:t>Required content in project description</w:t>
      </w:r>
    </w:p>
    <w:p>
      <w:pPr>
        <w:pStyle w:val="ListBullet"/>
      </w:pPr>
      <w:r>
        <w:t>Layout of the Lab Automation Line</w:t>
      </w:r>
      <w:r>
        <w:rPr>
          <w:i/>
        </w:rPr>
        <w:t xml:space="preserve"> (p.2)</w:t>
      </w:r>
    </w:p>
    <w:p>
      <w:pPr>
        <w:pStyle w:val="ListBullet"/>
      </w:pPr>
      <w:r>
        <w:t>Project scheduling (planning/project planning, system delivery, installation, testing &amp; commissioning)</w:t>
      </w:r>
      <w:r>
        <w:rPr>
          <w:i/>
        </w:rPr>
        <w:t xml:space="preserve"> (p.2)</w:t>
      </w:r>
    </w:p>
    <w:p>
      <w:pPr>
        <w:pStyle w:val="ListBullet"/>
      </w:pPr>
      <w:r>
        <w:t>Parts list of the components offered</w:t>
      </w:r>
      <w:r>
        <w:rPr>
          <w:i/>
        </w:rPr>
        <w:t xml:space="preserve"> (p.2)</w:t>
      </w:r>
    </w:p>
    <w:p>
      <w:pPr>
        <w:pStyle w:val="ListBullet"/>
      </w:pPr>
      <w:r>
        <w:t>The provider shall examine the feasibility of a layout exclusively on the INO F floor as a variant.</w:t>
      </w:r>
      <w:r>
        <w:rPr>
          <w:i/>
        </w:rPr>
        <w:t xml:space="preserve"> (p.2)</w:t>
      </w:r>
    </w:p>
    <w:p>
      <w:pPr>
        <w:pStyle w:val="CustomHeading2"/>
      </w:pPr>
      <w:r>
        <w:rPr>
          <w:b/>
          <w:color w:val="F3B08F"/>
        </w:rPr>
        <w:t>Operational / brownfield constraints</w:t>
      </w:r>
    </w:p>
    <w:p>
      <w:pPr>
        <w:pStyle w:val="ListBullet"/>
      </w:pPr>
      <w:r>
        <w:t>The replacement of the existing Lab Automation Line must be realized during ongoing operations</w:t>
      </w:r>
      <w:r>
        <w:rPr>
          <w:i/>
        </w:rPr>
        <w:t xml:space="preserve"> (p.3)</w:t>
      </w:r>
    </w:p>
    <w:p>
      <w:pPr>
        <w:pStyle w:val="ListBullet"/>
      </w:pPr>
      <w:r>
        <w:t>System setup and commissioning coordinated with overall project management of hospital/clinic.</w:t>
      </w:r>
      <w:r>
        <w:rPr>
          <w:i/>
        </w:rPr>
        <w:t xml:space="preserve"> (p.3)</w:t>
      </w:r>
    </w:p>
    <w:p>
      <w:pPr>
        <w:pStyle w:val="ListBullet"/>
      </w:pPr>
      <w:r>
        <w:t>Sample collection area remains unchanged.</w:t>
      </w:r>
      <w:r>
        <w:rPr>
          <w:i/>
        </w:rPr>
        <w:t xml:space="preserve"> (p.3)</w:t>
      </w:r>
    </w:p>
    <w:p>
      <w:pPr>
        <w:pStyle w:val="CustomHeading2"/>
      </w:pPr>
      <w:r>
        <w:rPr>
          <w:b/>
          <w:color w:val="F3B08F"/>
        </w:rPr>
        <w:t>Facility / space constraints</w:t>
      </w:r>
    </w:p>
    <w:p>
      <w:pPr>
        <w:pStyle w:val="ListBullet"/>
      </w:pPr>
      <w:r>
        <w:t>The space in INO F shown in the enclosed planning documents is to be used (primarily the yellow area in the Core Lab is available; if more space is required, the green and secondarily the blue area should be used as a priority)</w:t>
      </w:r>
      <w:r>
        <w:rPr>
          <w:i/>
        </w:rPr>
        <w:t xml:space="preserve"> (p.3)</w:t>
      </w:r>
    </w:p>
    <w:p>
      <w:pPr>
        <w:pStyle w:val="ListBullet"/>
      </w:pPr>
      <w:r>
        <w:t>Use INO E space shown in planning documents.</w:t>
      </w:r>
      <w:r>
        <w:rPr>
          <w:i/>
        </w:rPr>
        <w:t xml:space="preserve"> (p.3)</w:t>
      </w:r>
    </w:p>
    <w:p>
      <w:pPr>
        <w:pStyle w:val="ListBullet"/>
      </w:pPr>
      <w:r>
        <w:t>Biobank moved to INO E; connection of biobank to Lab Automation Line is a requirement.</w:t>
      </w:r>
      <w:r>
        <w:rPr>
          <w:i/>
        </w:rPr>
        <w:t xml:space="preserve"> (p.3)</w:t>
      </w:r>
    </w:p>
    <w:p>
      <w:pPr>
        <w:pStyle w:val="ListBullet"/>
      </w:pPr>
      <w:r>
        <w:t>Door insertion heights: INO F 2.20 m; INO E 2.10 m (width 2.00 m).</w:t>
      </w:r>
      <w:r>
        <w:rPr>
          <w:i/>
        </w:rPr>
        <w:t xml:space="preserve"> (p.8-9)</w:t>
      </w:r>
    </w:p>
    <w:p>
      <w:pPr>
        <w:pStyle w:val="ListBullet"/>
      </w:pPr>
      <w:r>
        <w:t>Ceiling height constraints in INO E (&gt;=2.40 m in highlighted areas; 2.20–2.40 m elsewhere).</w:t>
      </w:r>
      <w:r>
        <w:rPr>
          <w:i/>
        </w:rPr>
        <w:t xml:space="preserve"> (p.9)</w:t>
      </w:r>
    </w:p>
    <w:p>
      <w:pPr>
        <w:pStyle w:val="ListBullet"/>
      </w:pPr>
      <w:r>
        <w:t>Potential ceiling breakthrough area for vertical connection between floors.</w:t>
      </w:r>
      <w:r>
        <w:rPr>
          <w:i/>
        </w:rPr>
        <w:t xml:space="preserve"> (p.10-11)</w:t>
      </w:r>
    </w:p>
    <w:p>
      <w:pPr>
        <w:pStyle w:val="CustomHeading2"/>
      </w:pPr>
      <w:r>
        <w:rPr>
          <w:b/>
          <w:color w:val="F3B08F"/>
        </w:rPr>
        <w:t>Analyzer connectivity &amp; layout rules</w:t>
      </w:r>
    </w:p>
    <w:p>
      <w:pPr>
        <w:pStyle w:val="ListBullet"/>
      </w:pPr>
      <w:r>
        <w:t>Analytics per tender documentation must be connected to Lab Automation Line; reserve space for additional CN-6000 and Alinity i.</w:t>
      </w:r>
      <w:r>
        <w:rPr>
          <w:i/>
        </w:rPr>
        <w:t xml:space="preserve"> (p.3)</w:t>
      </w:r>
    </w:p>
    <w:p>
      <w:pPr>
        <w:pStyle w:val="ListBullet"/>
      </w:pPr>
      <w:r>
        <w:t>Group devices along the track by specialist areas (work economy).</w:t>
      </w:r>
      <w:r>
        <w:rPr>
          <w:i/>
        </w:rPr>
        <w:t xml:space="preserve"> (p.3)</w:t>
      </w:r>
    </w:p>
    <w:p>
      <w:pPr>
        <w:pStyle w:val="ListBullet"/>
      </w:pPr>
      <w:r>
        <w:t>Existing analytics not connected to track must be relocated to the perimeter.</w:t>
      </w:r>
      <w:r>
        <w:rPr>
          <w:i/>
        </w:rPr>
        <w:t xml:space="preserve"> (p.3)</w:t>
      </w:r>
    </w:p>
    <w:p>
      <w:pPr>
        <w:pStyle w:val="ListBullet"/>
      </w:pPr>
      <w:r>
        <w:t>If not possible to fully connect all analytics due to space, apply prioritization list (Cobas Pro, CN-6000, Liaison XL, Alinity i, Phadia 250, plus reserves).</w:t>
      </w:r>
      <w:r>
        <w:rPr>
          <w:i/>
        </w:rPr>
        <w:t xml:space="preserve"> (p.4)</w:t>
      </w:r>
    </w:p>
    <w:p>
      <w:pPr>
        <w:pStyle w:val="ListBullet"/>
      </w:pPr>
      <w:r>
        <w:t>Provide a validation workstation for each analysis.</w:t>
      </w:r>
      <w:r>
        <w:rPr>
          <w:i/>
        </w:rPr>
        <w:t xml:space="preserve"> (p.4)</w:t>
      </w:r>
    </w:p>
    <w:p>
      <w:pPr>
        <w:pStyle w:val="CustomHeading2"/>
      </w:pPr>
      <w:r>
        <w:rPr>
          <w:b/>
          <w:color w:val="F3B08F"/>
        </w:rPr>
        <w:t>Schedule / milestones</w:t>
      </w:r>
    </w:p>
    <w:p>
      <w:pPr>
        <w:pStyle w:val="ListBullet"/>
      </w:pPr>
      <w:r>
        <w:t>Signing of contract 2Q2025</w:t>
      </w:r>
      <w:r>
        <w:rPr>
          <w:i/>
        </w:rPr>
        <w:t xml:space="preserve"> (p.5)</w:t>
      </w:r>
    </w:p>
    <w:p>
      <w:pPr>
        <w:pStyle w:val="ListBullet"/>
      </w:pPr>
      <w:r>
        <w:t>Configuration of middleware, training, etc. from 3Q2025</w:t>
      </w:r>
      <w:r>
        <w:rPr>
          <w:i/>
        </w:rPr>
        <w:t xml:space="preserve"> (p.5)</w:t>
      </w:r>
    </w:p>
    <w:p>
      <w:pPr>
        <w:pStyle w:val="ListBullet"/>
      </w:pPr>
      <w:r>
        <w:t>Start of installation of the Lab Automation Line January 2026</w:t>
      </w:r>
      <w:r>
        <w:rPr>
          <w:i/>
        </w:rPr>
        <w:t xml:space="preserve"> (p.5)</w:t>
      </w:r>
    </w:p>
    <w:p>
      <w:pPr>
        <w:pStyle w:val="CustomHeading2"/>
      </w:pPr>
      <w:r>
        <w:rPr>
          <w:b/>
          <w:color w:val="F3B08F"/>
        </w:rPr>
        <w:t>Provided drawings / supplements</w:t>
      </w:r>
    </w:p>
    <w:p>
      <w:pPr>
        <w:pStyle w:val="ListBullet"/>
      </w:pPr>
      <w:r>
        <w:t>Surveyed plan of the laboratory perimeter (the automation of the biobank is not shown) File name: Laborperimeter_Geschoss INO F</w:t>
      </w:r>
      <w:r>
        <w:rPr>
          <w:i/>
        </w:rPr>
        <w:t xml:space="preserve"> (p.6)</w:t>
      </w:r>
    </w:p>
    <w:p>
      <w:pPr>
        <w:pStyle w:val="ListBullet"/>
      </w:pPr>
      <w:r>
        <w:t>Floor plans of floors INO E and INO F in DWG format (ATTENTION: the third column is not shown in GR INO F / the washbasin at column G/5 does not exist) File names: Floor plan - 056E &amp; Floor plan - 056F</w:t>
      </w:r>
      <w:r>
        <w:rPr>
          <w:i/>
        </w:rPr>
        <w:t xml:space="preserve"> (p.6)</w:t>
      </w:r>
    </w:p>
    <w:p>
      <w:pPr>
        <w:pStyle w:val="ListBullet"/>
      </w:pPr>
      <w:r>
        <w:t>Master plan of the automation of the biobank in DWG format File name: Bern-Inselspital-Biobank connection</w:t>
      </w:r>
      <w:r>
        <w:rPr>
          <w:i/>
        </w:rPr>
        <w:t xml:space="preserve"> (p.6)</w:t>
      </w:r>
    </w:p>
    <w:p>
      <w:pPr>
        <w:pStyle w:val="ListBullet"/>
      </w:pPr>
      <w:r>
        <w:t>Schematic overview plan of the current Lab Automation Line including the automated biobank (in the appendix of this document, page 7)</w:t>
      </w:r>
      <w:r>
        <w:rPr>
          <w:i/>
        </w:rPr>
        <w:t xml:space="preserve"> (p.6)</w:t>
      </w:r>
    </w:p>
    <w:p>
      <w:pPr>
        <w:pStyle w:val="ListBullet"/>
      </w:pPr>
      <w:r>
        <w:t>Overview plan of the areas available in INO F and INO E (in the appendix to this document, pages 8 &amp; 9)</w:t>
      </w:r>
      <w:r>
        <w:rPr>
          <w:i/>
        </w:rPr>
        <w:t xml:space="preserve"> (p.6)</w:t>
      </w:r>
    </w:p>
    <w:p>
      <w:pPr>
        <w:pStyle w:val="ListBullet"/>
      </w:pPr>
      <w:r>
        <w:t>Overview plans with the intersection area in INO F and INO E for the vertical connection of the two floors (in the appendix of this document, pages 10 &amp; 11)</w:t>
      </w:r>
      <w:r>
        <w:rPr>
          <w:i/>
        </w:rPr>
        <w:t xml:space="preserve"> (p.6)</w:t>
      </w:r>
    </w:p>
    <w:p>
      <w:pPr>
        <w:pStyle w:val="CustomHeading1"/>
      </w:pPr>
      <w:r>
        <w:rPr>
          <w:b/>
          <w:color w:val="33BCE5"/>
        </w:rPr>
        <w:t>4. Deliverables to Prepare (Pre-Bid)</w:t>
      </w:r>
    </w:p>
    <w:p>
      <w:pPr>
        <w:pStyle w:val="ListBullet"/>
      </w:pPr>
      <w:r>
        <w:t>Pre-bid feasibility assessment (layout variant exclusively on INO F floor).</w:t>
      </w:r>
    </w:p>
    <w:p>
      <w:pPr>
        <w:pStyle w:val="ListBullet"/>
      </w:pPr>
      <w:r>
        <w:t>High-level layout(s) for INO F / INO E including biobank connection concept.</w:t>
      </w:r>
    </w:p>
    <w:p>
      <w:pPr>
        <w:pStyle w:val="ListBullet"/>
      </w:pPr>
      <w:r>
        <w:t>Project schedule (planning → delivery → installation → testing &amp; commissioning).</w:t>
      </w:r>
    </w:p>
    <w:p>
      <w:pPr>
        <w:pStyle w:val="ListBullet"/>
      </w:pPr>
      <w:r>
        <w:t>Parts list / BOM of offered components (high level).</w:t>
      </w:r>
    </w:p>
    <w:p>
      <w:pPr>
        <w:pStyle w:val="ListBullet"/>
      </w:pPr>
      <w:r>
        <w:t>Assumptions &amp; deviations log (justify any deviation from stated framework conditions).</w:t>
      </w:r>
    </w:p>
    <w:p>
      <w:pPr>
        <w:pStyle w:val="ListBullet"/>
      </w:pPr>
      <w:r>
        <w:t>Interface &amp; responsibility matrix for third-party providers (turnkey scope).</w:t>
      </w:r>
    </w:p>
    <w:p>
      <w:pPr>
        <w:pStyle w:val="ListBullet"/>
      </w:pPr>
      <w:r>
        <w:t>Site survey / drawing request list (DWGs: INO E/F plans, perimeter, biobank master plan).</w:t>
      </w:r>
    </w:p>
    <w:p>
      <w:pPr>
        <w:pStyle w:val="CustomHeading1"/>
      </w:pPr>
      <w:r>
        <w:rPr>
          <w:b/>
          <w:color w:val="33BCE5"/>
        </w:rPr>
        <w:t>5. Risk Register (Top)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33bce5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33bce5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234"/>
            <w:shd w:fill="33bce5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234"/>
            <w:shd w:fill="33bce5"/>
          </w:tcPr>
          <w:p>
            <w:r/>
            <w:r>
              <w:rPr>
                <w:b/>
                <w:color w:val="FFFFFF"/>
                <w:sz w:val="18"/>
              </w:rPr>
              <w:t>Prob (1-5)</w:t>
            </w:r>
          </w:p>
        </w:tc>
        <w:tc>
          <w:tcPr>
            <w:tcW w:type="dxa" w:w="1234"/>
            <w:shd w:fill="33bce5"/>
          </w:tcPr>
          <w:p>
            <w:r/>
            <w:r>
              <w:rPr>
                <w:b/>
                <w:color w:val="FFFFFF"/>
                <w:sz w:val="18"/>
              </w:rPr>
              <w:t>Impact (1-5)</w:t>
            </w:r>
          </w:p>
        </w:tc>
        <w:tc>
          <w:tcPr>
            <w:tcW w:type="dxa" w:w="1234"/>
            <w:shd w:fill="33bce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234"/>
            <w:shd w:fill="33bce5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Replacement during ongoing operations (brownfield). Potential impact on continuity, phased cutover complexity.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Operational / Timeline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p.3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Turnkey responsibility incl. direct contracting of third parties: commercial/legal exposure, integration risk.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Commercial / Legal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p.2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Biobank relocation to INO E and mandatory automated connection to Lab Automation Line (multi-floor integration).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Technical / Facility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p.3, p.10-11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Space constraints and strict area prioritization in INO F; may force partial connectivity and compromises.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Facility / Layout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p.3, p.8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Requirement to connect multiple analyzer brands + provide validation workstation per analysis; footprint and workflow complexity.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Technical / Workflow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p.3-4</w:t>
            </w:r>
          </w:p>
        </w:tc>
      </w:tr>
    </w:tbl>
    <w:p>
      <w:pPr>
        <w:pStyle w:val="CustomHeading1"/>
      </w:pPr>
      <w:r>
        <w:rPr>
          <w:b/>
          <w:color w:val="33BCE5"/>
        </w:rPr>
        <w:t>6. Go / No-Go Recommendation</w:t>
      </w:r>
    </w:p>
    <w:p>
      <w:r>
        <w:t>Overall complexity score: 61 / 100</w:t>
      </w:r>
    </w:p>
    <w:p>
      <w:r>
        <w:rPr>
          <w:b/>
          <w:color w:val="F3B08F"/>
          <w:sz w:val="28"/>
        </w:rPr>
        <w:t>Recommendation: GO with Mitigation</w:t>
      </w:r>
    </w:p>
    <w:p>
      <w:r>
        <w:t>Key drivers are brownfield replacement during operations, mandatory biobank connection across floors, and tight space constraints. Proceed only if early feasibility (INO F-only variant + biobank link concept) is confirmed via drawings/site survey and responsibilities for third parties are contractually manageable.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basedOn w:val="Heading1"/>
    <w:rPr>
      <w:b/>
      <w:color w:val="33BCE5"/>
    </w:rPr>
  </w:style>
  <w:style w:type="paragraph" w:customStyle="1" w:styleId="CustomHeading2">
    <w:name w:val="CustomHeading2"/>
    <w:basedOn w:val="Heading2"/>
    <w:rPr>
      <w:b/>
      <w:color w:val="F3B08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