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C54DA5" w14:textId="77777777" w:rsidR="00D70087" w:rsidRPr="003A5447" w:rsidRDefault="00000000" w:rsidP="007F7735">
      <w:pPr>
        <w:spacing w:after="80"/>
        <w:jc w:val="center"/>
        <w:rPr>
          <w:rFonts w:ascii="Times New Roman" w:hAnsi="Times New Roman" w:cs="Times New Roman"/>
          <w:color w:val="BF4E14" w:themeColor="accent2" w:themeShade="BF"/>
        </w:rPr>
      </w:pPr>
      <w:r w:rsidRPr="003A5447">
        <w:rPr>
          <w:rFonts w:ascii="Times New Roman" w:hAnsi="Times New Roman" w:cs="Times New Roman"/>
          <w:b/>
          <w:bCs/>
          <w:color w:val="BF4E14" w:themeColor="accent2" w:themeShade="BF"/>
          <w:sz w:val="28"/>
          <w:szCs w:val="28"/>
        </w:rPr>
        <w:t>Kenya MSME Digital Lending: Unit Economics Benchmarking and Investment Recommendation</w:t>
      </w:r>
    </w:p>
    <w:p w14:paraId="32E12943" w14:textId="2C9A95BF" w:rsidR="007F7735" w:rsidRPr="007F7735" w:rsidRDefault="00000000" w:rsidP="007F7735">
      <w:pPr>
        <w:spacing w:after="40"/>
        <w:jc w:val="center"/>
        <w:rPr>
          <w:rFonts w:ascii="Times New Roman" w:hAnsi="Times New Roman" w:cs="Times New Roman"/>
          <w:b/>
          <w:bCs/>
          <w:color w:val="000000"/>
          <w:sz w:val="24"/>
          <w:szCs w:val="24"/>
        </w:rPr>
      </w:pPr>
      <w:r w:rsidRPr="003A5447">
        <w:rPr>
          <w:rFonts w:ascii="Times New Roman" w:hAnsi="Times New Roman" w:cs="Times New Roman"/>
          <w:b/>
          <w:bCs/>
          <w:color w:val="000000"/>
          <w:sz w:val="24"/>
          <w:szCs w:val="24"/>
        </w:rPr>
        <w:t>Independent Research — Lisa Uwonkunda</w:t>
      </w:r>
    </w:p>
    <w:p w14:paraId="070E2B5F" w14:textId="77777777" w:rsidR="005F4A67" w:rsidRDefault="005F4A67" w:rsidP="003A5447">
      <w:pPr>
        <w:spacing w:after="280"/>
        <w:rPr>
          <w:rFonts w:ascii="Times New Roman" w:hAnsi="Times New Roman" w:cs="Times New Roman"/>
          <w:i/>
          <w:iCs/>
        </w:rPr>
      </w:pPr>
    </w:p>
    <w:p w14:paraId="3C0CE15C" w14:textId="3FE9CA99" w:rsidR="00D70087" w:rsidRPr="005F4A67" w:rsidRDefault="00000000" w:rsidP="003A5447">
      <w:pPr>
        <w:spacing w:after="280"/>
        <w:rPr>
          <w:rFonts w:ascii="Times New Roman" w:hAnsi="Times New Roman" w:cs="Times New Roman"/>
          <w:i/>
          <w:iCs/>
        </w:rPr>
      </w:pPr>
      <w:r w:rsidRPr="005F4A67">
        <w:rPr>
          <w:rFonts w:ascii="Times New Roman" w:hAnsi="Times New Roman" w:cs="Times New Roman"/>
          <w:i/>
          <w:iCs/>
        </w:rPr>
        <w:t>Analysis anchored to December 2023, the most recent period with comparable, dated data across all players. Figures outside this window are dated in-line</w:t>
      </w:r>
      <w:r w:rsidR="003A5447" w:rsidRPr="005F4A67">
        <w:rPr>
          <w:rFonts w:ascii="Times New Roman" w:hAnsi="Times New Roman" w:cs="Times New Roman"/>
          <w:i/>
          <w:iCs/>
        </w:rPr>
        <w:t>.</w:t>
      </w:r>
      <w:r w:rsidRPr="005F4A67">
        <w:rPr>
          <w:rFonts w:ascii="Times New Roman" w:hAnsi="Times New Roman" w:cs="Times New Roman"/>
          <w:i/>
          <w:iCs/>
        </w:rPr>
        <w:t xml:space="preserve"> 2025 developments are addressed separately in Section 4 and are not blended into the primary analysis.</w:t>
      </w:r>
    </w:p>
    <w:p w14:paraId="552E4AC1" w14:textId="77777777" w:rsidR="00D70087" w:rsidRPr="003A5447" w:rsidRDefault="00000000" w:rsidP="003A5447">
      <w:pPr>
        <w:pStyle w:val="Heading1"/>
        <w:pBdr>
          <w:bottom w:val="single" w:sz="4" w:space="1" w:color="auto"/>
        </w:pBdr>
        <w:spacing w:before="220" w:after="120"/>
        <w:rPr>
          <w:rFonts w:ascii="Times New Roman" w:hAnsi="Times New Roman" w:cs="Times New Roman"/>
          <w:color w:val="BF4E14" w:themeColor="accent2" w:themeShade="BF"/>
        </w:rPr>
      </w:pPr>
      <w:r w:rsidRPr="003A5447">
        <w:rPr>
          <w:rFonts w:ascii="Times New Roman" w:hAnsi="Times New Roman" w:cs="Times New Roman"/>
          <w:b/>
          <w:bCs/>
          <w:color w:val="BF4E14" w:themeColor="accent2" w:themeShade="BF"/>
          <w:sz w:val="25"/>
          <w:szCs w:val="25"/>
        </w:rPr>
        <w:t>Executive Summary</w:t>
      </w:r>
    </w:p>
    <w:p w14:paraId="6BF6C120" w14:textId="5E794050" w:rsidR="00D70087" w:rsidRPr="003A5447" w:rsidRDefault="00000000">
      <w:pPr>
        <w:spacing w:after="120"/>
        <w:jc w:val="both"/>
        <w:rPr>
          <w:rFonts w:ascii="Times New Roman" w:hAnsi="Times New Roman" w:cs="Times New Roman"/>
          <w:sz w:val="22"/>
          <w:szCs w:val="22"/>
        </w:rPr>
      </w:pPr>
      <w:r w:rsidRPr="003A5447">
        <w:rPr>
          <w:rFonts w:ascii="Times New Roman" w:hAnsi="Times New Roman" w:cs="Times New Roman"/>
          <w:color w:val="000000"/>
          <w:sz w:val="22"/>
          <w:szCs w:val="22"/>
        </w:rPr>
        <w:t>To deploy $5 million into Kenya’s MSME digital lending market with the most defensible risk-adjusted return, capital should be allocated to 4G Capital. Among Kenya’s licensed digital credit providers (DCPs), effective annual percentage rates (APRs) span more than 100-fold</w:t>
      </w:r>
      <w:r w:rsidR="003A5447" w:rsidRPr="003A5447">
        <w:rPr>
          <w:rFonts w:ascii="Times New Roman" w:hAnsi="Times New Roman" w:cs="Times New Roman"/>
          <w:color w:val="000000"/>
          <w:sz w:val="22"/>
          <w:szCs w:val="22"/>
        </w:rPr>
        <w:t>,</w:t>
      </w:r>
      <w:r w:rsidRPr="003A5447">
        <w:rPr>
          <w:rFonts w:ascii="Times New Roman" w:hAnsi="Times New Roman" w:cs="Times New Roman"/>
          <w:color w:val="000000"/>
          <w:sz w:val="22"/>
          <w:szCs w:val="22"/>
        </w:rPr>
        <w:t xml:space="preserve"> from roughly 24% to a disclosed maximum of 4,432%</w:t>
      </w:r>
      <w:r w:rsidRPr="003A5447">
        <w:rPr>
          <w:rStyle w:val="FootnoteReference"/>
          <w:rFonts w:ascii="Times New Roman" w:hAnsi="Times New Roman" w:cs="Times New Roman"/>
          <w:sz w:val="22"/>
          <w:szCs w:val="22"/>
        </w:rPr>
        <w:footnoteReference w:id="1"/>
      </w:r>
      <w:r w:rsidR="003A5447" w:rsidRPr="003A5447">
        <w:rPr>
          <w:rFonts w:ascii="Times New Roman" w:hAnsi="Times New Roman" w:cs="Times New Roman"/>
          <w:color w:val="000000"/>
          <w:sz w:val="22"/>
          <w:szCs w:val="22"/>
        </w:rPr>
        <w:t>,</w:t>
      </w:r>
      <w:r w:rsidRPr="003A5447">
        <w:rPr>
          <w:rFonts w:ascii="Times New Roman" w:hAnsi="Times New Roman" w:cs="Times New Roman"/>
          <w:color w:val="000000"/>
          <w:sz w:val="22"/>
          <w:szCs w:val="22"/>
        </w:rPr>
        <w:t xml:space="preserve"> despite every licensed player operating under identical CBK disclosure rules</w:t>
      </w:r>
      <w:r w:rsidRPr="003A5447">
        <w:rPr>
          <w:rStyle w:val="FootnoteReference"/>
          <w:rFonts w:ascii="Times New Roman" w:hAnsi="Times New Roman" w:cs="Times New Roman"/>
          <w:sz w:val="22"/>
          <w:szCs w:val="22"/>
        </w:rPr>
        <w:footnoteReference w:id="2"/>
      </w:r>
      <w:r w:rsidRPr="003A5447">
        <w:rPr>
          <w:rFonts w:ascii="Times New Roman" w:hAnsi="Times New Roman" w:cs="Times New Roman"/>
          <w:color w:val="000000"/>
          <w:sz w:val="22"/>
          <w:szCs w:val="22"/>
        </w:rPr>
        <w:t xml:space="preserve"> and broadly comparable borrower segments. This dispersion separates lenders whose underwriting is grounded in verified business performance from those whose pricing power depended on the opacity </w:t>
      </w:r>
      <w:r w:rsidR="003A5447" w:rsidRPr="003A5447">
        <w:rPr>
          <w:rFonts w:ascii="Times New Roman" w:hAnsi="Times New Roman" w:cs="Times New Roman"/>
          <w:color w:val="000000"/>
          <w:sz w:val="22"/>
          <w:szCs w:val="22"/>
        </w:rPr>
        <w:t xml:space="preserve">that </w:t>
      </w:r>
      <w:r w:rsidRPr="003A5447">
        <w:rPr>
          <w:rFonts w:ascii="Times New Roman" w:hAnsi="Times New Roman" w:cs="Times New Roman"/>
          <w:color w:val="000000"/>
          <w:sz w:val="22"/>
          <w:szCs w:val="22"/>
        </w:rPr>
        <w:t>Kenya’s 2022 regulatory reform was designed to eliminate. 4G Capital is the only DCP in this analysis combining a sub-sector-average default rate (5%, against a $990.7 million disbursement base)</w:t>
      </w:r>
      <w:r w:rsidRPr="003A5447">
        <w:rPr>
          <w:rStyle w:val="FootnoteReference"/>
          <w:rFonts w:ascii="Times New Roman" w:hAnsi="Times New Roman" w:cs="Times New Roman"/>
          <w:sz w:val="22"/>
          <w:szCs w:val="22"/>
        </w:rPr>
        <w:footnoteReference w:id="3"/>
      </w:r>
      <w:r w:rsidRPr="003A5447">
        <w:rPr>
          <w:rFonts w:ascii="Times New Roman" w:hAnsi="Times New Roman" w:cs="Times New Roman"/>
          <w:color w:val="000000"/>
          <w:sz w:val="22"/>
          <w:szCs w:val="22"/>
        </w:rPr>
        <w:t>, a fully closed and diversified local-currency debt structure</w:t>
      </w:r>
      <w:r w:rsidRPr="003A5447">
        <w:rPr>
          <w:rStyle w:val="FootnoteReference"/>
          <w:rFonts w:ascii="Times New Roman" w:hAnsi="Times New Roman" w:cs="Times New Roman"/>
          <w:sz w:val="22"/>
          <w:szCs w:val="22"/>
        </w:rPr>
        <w:footnoteReference w:id="4"/>
      </w:r>
      <w:r w:rsidRPr="003A5447">
        <w:rPr>
          <w:rFonts w:ascii="Times New Roman" w:hAnsi="Times New Roman" w:cs="Times New Roman"/>
          <w:color w:val="000000"/>
          <w:sz w:val="22"/>
          <w:szCs w:val="22"/>
        </w:rPr>
        <w:t>, and an underwriting model structurally aligned with regulatory intent rather than reactive to it. The primary risk to this recommendation is operational scalability, addressed in Section 3.</w:t>
      </w:r>
    </w:p>
    <w:p w14:paraId="745BE1DB" w14:textId="77777777" w:rsidR="00D70087" w:rsidRPr="003A5447" w:rsidRDefault="00000000" w:rsidP="003A5447">
      <w:pPr>
        <w:pStyle w:val="Heading1"/>
        <w:pBdr>
          <w:bottom w:val="single" w:sz="4" w:space="1" w:color="auto"/>
        </w:pBdr>
        <w:spacing w:before="220" w:after="120"/>
        <w:rPr>
          <w:rFonts w:ascii="Times New Roman" w:hAnsi="Times New Roman" w:cs="Times New Roman"/>
          <w:color w:val="BF4E14" w:themeColor="accent2" w:themeShade="BF"/>
        </w:rPr>
      </w:pPr>
      <w:r w:rsidRPr="003A5447">
        <w:rPr>
          <w:rFonts w:ascii="Times New Roman" w:hAnsi="Times New Roman" w:cs="Times New Roman"/>
          <w:b/>
          <w:bCs/>
          <w:color w:val="BF4E14" w:themeColor="accent2" w:themeShade="BF"/>
          <w:sz w:val="25"/>
          <w:szCs w:val="25"/>
        </w:rPr>
        <w:t>1. A 100-Fold Pricing Spread Reveals Which Lenders Are Built for Regulation, Not Around It</w:t>
      </w:r>
    </w:p>
    <w:p w14:paraId="03F48AB8" w14:textId="2B3BB302" w:rsidR="00D70087" w:rsidRPr="003A5447" w:rsidRDefault="00000000">
      <w:pPr>
        <w:spacing w:after="120"/>
        <w:jc w:val="both"/>
        <w:rPr>
          <w:rFonts w:ascii="Times New Roman" w:hAnsi="Times New Roman" w:cs="Times New Roman"/>
          <w:sz w:val="22"/>
          <w:szCs w:val="22"/>
        </w:rPr>
      </w:pPr>
      <w:r w:rsidRPr="003A5447">
        <w:rPr>
          <w:rFonts w:ascii="Times New Roman" w:hAnsi="Times New Roman" w:cs="Times New Roman"/>
          <w:color w:val="000000"/>
          <w:sz w:val="22"/>
          <w:szCs w:val="22"/>
        </w:rPr>
        <w:t>Kenya’s 2022 Digital Credit Provider (DCP) Regulations mandated APR disclosure across all licensed lenders for the first time.</w:t>
      </w:r>
      <w:r w:rsidRPr="003A5447">
        <w:rPr>
          <w:rStyle w:val="FootnoteReference"/>
          <w:rFonts w:ascii="Times New Roman" w:hAnsi="Times New Roman" w:cs="Times New Roman"/>
          <w:sz w:val="22"/>
          <w:szCs w:val="22"/>
        </w:rPr>
        <w:footnoteReference w:id="5"/>
      </w:r>
      <w:r w:rsidRPr="003A5447">
        <w:rPr>
          <w:rFonts w:ascii="Times New Roman" w:hAnsi="Times New Roman" w:cs="Times New Roman"/>
          <w:color w:val="000000"/>
          <w:sz w:val="22"/>
          <w:szCs w:val="22"/>
        </w:rPr>
        <w:t xml:space="preserve"> The resulting data reveals a pricing spread of more than 100-fold within a single regulated market</w:t>
      </w:r>
      <w:r w:rsidR="003A5447" w:rsidRPr="003A5447">
        <w:rPr>
          <w:rFonts w:ascii="Times New Roman" w:hAnsi="Times New Roman" w:cs="Times New Roman"/>
          <w:color w:val="000000"/>
          <w:sz w:val="22"/>
          <w:szCs w:val="22"/>
        </w:rPr>
        <w:t xml:space="preserve">, </w:t>
      </w:r>
      <w:r w:rsidRPr="003A5447">
        <w:rPr>
          <w:rFonts w:ascii="Times New Roman" w:hAnsi="Times New Roman" w:cs="Times New Roman"/>
          <w:color w:val="000000"/>
          <w:sz w:val="22"/>
          <w:szCs w:val="22"/>
        </w:rPr>
        <w:t xml:space="preserve"> from an estimated 18–36% APR at bank-backed KCB M-Pesa</w:t>
      </w:r>
      <w:r w:rsidRPr="003A5447">
        <w:rPr>
          <w:rStyle w:val="FootnoteReference"/>
          <w:rFonts w:ascii="Times New Roman" w:hAnsi="Times New Roman" w:cs="Times New Roman"/>
          <w:sz w:val="22"/>
          <w:szCs w:val="22"/>
        </w:rPr>
        <w:footnoteReference w:id="6"/>
      </w:r>
      <w:r w:rsidRPr="003A5447">
        <w:rPr>
          <w:rFonts w:ascii="Times New Roman" w:hAnsi="Times New Roman" w:cs="Times New Roman"/>
          <w:color w:val="000000"/>
          <w:sz w:val="22"/>
          <w:szCs w:val="22"/>
        </w:rPr>
        <w:t xml:space="preserve"> to a disclosed maximum of 4,432% at Zenka Digital.</w:t>
      </w:r>
      <w:r w:rsidRPr="003A5447">
        <w:rPr>
          <w:rStyle w:val="FootnoteReference"/>
          <w:rFonts w:ascii="Times New Roman" w:hAnsi="Times New Roman" w:cs="Times New Roman"/>
          <w:sz w:val="22"/>
          <w:szCs w:val="22"/>
        </w:rPr>
        <w:footnoteReference w:id="7"/>
      </w:r>
      <w:r w:rsidRPr="003A5447">
        <w:rPr>
          <w:rFonts w:ascii="Times New Roman" w:hAnsi="Times New Roman" w:cs="Times New Roman"/>
          <w:color w:val="000000"/>
          <w:sz w:val="22"/>
          <w:szCs w:val="22"/>
        </w:rPr>
        <w:t xml:space="preserve"> This spread maps directly onto underwriting methodology</w:t>
      </w:r>
      <w:r w:rsidR="003A5447" w:rsidRPr="003A5447">
        <w:rPr>
          <w:rFonts w:ascii="Times New Roman" w:hAnsi="Times New Roman" w:cs="Times New Roman"/>
          <w:color w:val="000000"/>
          <w:sz w:val="22"/>
          <w:szCs w:val="22"/>
        </w:rPr>
        <w:t xml:space="preserve">, with </w:t>
      </w:r>
      <w:r w:rsidRPr="003A5447">
        <w:rPr>
          <w:rFonts w:ascii="Times New Roman" w:hAnsi="Times New Roman" w:cs="Times New Roman"/>
          <w:color w:val="000000"/>
          <w:sz w:val="22"/>
          <w:szCs w:val="22"/>
        </w:rPr>
        <w:t>lenders using verified business data price low and default low</w:t>
      </w:r>
      <w:r w:rsidR="003A5447" w:rsidRPr="003A5447">
        <w:rPr>
          <w:rFonts w:ascii="Times New Roman" w:hAnsi="Times New Roman" w:cs="Times New Roman"/>
          <w:color w:val="000000"/>
          <w:sz w:val="22"/>
          <w:szCs w:val="22"/>
        </w:rPr>
        <w:t xml:space="preserve"> and </w:t>
      </w:r>
      <w:r w:rsidRPr="003A5447">
        <w:rPr>
          <w:rFonts w:ascii="Times New Roman" w:hAnsi="Times New Roman" w:cs="Times New Roman"/>
          <w:color w:val="000000"/>
          <w:sz w:val="22"/>
          <w:szCs w:val="22"/>
        </w:rPr>
        <w:t>lenders using behavioral proxies or pursuing volume over selection price high and default high, or decline to disclose at all.</w:t>
      </w:r>
    </w:p>
    <w:p w14:paraId="577A6792" w14:textId="77777777" w:rsidR="00D70087" w:rsidRPr="003A5447" w:rsidRDefault="00000000">
      <w:pPr>
        <w:spacing w:before="80" w:after="80"/>
        <w:jc w:val="center"/>
        <w:rPr>
          <w:rFonts w:ascii="Times New Roman" w:hAnsi="Times New Roman" w:cs="Times New Roman"/>
        </w:rPr>
      </w:pPr>
      <w:r w:rsidRPr="003A5447">
        <w:rPr>
          <w:rFonts w:ascii="Times New Roman" w:hAnsi="Times New Roman" w:cs="Times New Roman"/>
          <w:noProof/>
        </w:rPr>
        <w:lastRenderedPageBreak/>
        <w:drawing>
          <wp:inline distT="0" distB="0" distL="0" distR="0" wp14:anchorId="2A040930" wp14:editId="77E14C14">
            <wp:extent cx="4953000" cy="2390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390775"/>
                    </a:xfrm>
                    <a:prstGeom prst="rect">
                      <a:avLst/>
                    </a:prstGeom>
                  </pic:spPr>
                </pic:pic>
              </a:graphicData>
            </a:graphic>
          </wp:inline>
        </w:drawing>
      </w:r>
    </w:p>
    <w:p w14:paraId="0DE424C2" w14:textId="77777777" w:rsidR="00D70087" w:rsidRPr="003A5447" w:rsidRDefault="00000000" w:rsidP="003A5447">
      <w:pPr>
        <w:spacing w:after="160"/>
        <w:jc w:val="center"/>
        <w:rPr>
          <w:rFonts w:ascii="Times New Roman" w:hAnsi="Times New Roman" w:cs="Times New Roman"/>
        </w:rPr>
      </w:pPr>
      <w:r w:rsidRPr="003A5447">
        <w:rPr>
          <w:rFonts w:ascii="Times New Roman" w:hAnsi="Times New Roman" w:cs="Times New Roman"/>
          <w:i/>
          <w:iCs/>
          <w:color w:val="595959"/>
        </w:rPr>
        <w:t>Figure 1. Effective APR ranges across Kenya’s active digital lenders, log scale, December 2023 anchor. KCB M-Pesa shown for context only; not numerically disclosed for 4G Capital reflects its loyalty-tiered pricing model rather than a data gap.</w:t>
      </w:r>
    </w:p>
    <w:p w14:paraId="0462DC5B" w14:textId="1F0F1986" w:rsidR="00D70087" w:rsidRPr="003A5447" w:rsidRDefault="00000000">
      <w:pPr>
        <w:spacing w:after="120"/>
        <w:jc w:val="both"/>
        <w:rPr>
          <w:rFonts w:ascii="Times New Roman" w:hAnsi="Times New Roman" w:cs="Times New Roman"/>
          <w:sz w:val="22"/>
          <w:szCs w:val="22"/>
        </w:rPr>
      </w:pPr>
      <w:r w:rsidRPr="003A5447">
        <w:rPr>
          <w:rFonts w:ascii="Times New Roman" w:hAnsi="Times New Roman" w:cs="Times New Roman"/>
          <w:color w:val="000000"/>
          <w:sz w:val="22"/>
          <w:szCs w:val="22"/>
        </w:rPr>
        <w:t>KCB M-Pesa is included for context only, not as part of the headline DCP spread</w:t>
      </w:r>
      <w:r w:rsidR="00EE2321">
        <w:rPr>
          <w:rFonts w:ascii="Times New Roman" w:hAnsi="Times New Roman" w:cs="Times New Roman"/>
          <w:color w:val="000000"/>
          <w:sz w:val="22"/>
          <w:szCs w:val="22"/>
        </w:rPr>
        <w:t>, a</w:t>
      </w:r>
      <w:r w:rsidRPr="003A5447">
        <w:rPr>
          <w:rFonts w:ascii="Times New Roman" w:hAnsi="Times New Roman" w:cs="Times New Roman"/>
          <w:color w:val="000000"/>
          <w:sz w:val="22"/>
          <w:szCs w:val="22"/>
        </w:rPr>
        <w:t>s a bank product regulated under the Banking Act rather than the DCP framework (excluded under Reg. 2(a))</w:t>
      </w:r>
      <w:r w:rsidR="00EE2321">
        <w:rPr>
          <w:rFonts w:ascii="Times New Roman" w:hAnsi="Times New Roman" w:cs="Times New Roman"/>
          <w:color w:val="000000"/>
          <w:sz w:val="22"/>
          <w:szCs w:val="22"/>
        </w:rPr>
        <w:t>.</w:t>
      </w:r>
      <w:r w:rsidRPr="003A5447">
        <w:rPr>
          <w:rFonts w:ascii="Times New Roman" w:hAnsi="Times New Roman" w:cs="Times New Roman"/>
          <w:color w:val="000000"/>
          <w:sz w:val="22"/>
          <w:szCs w:val="22"/>
        </w:rPr>
        <w:t xml:space="preserve"> </w:t>
      </w:r>
      <w:r w:rsidR="00EE2321">
        <w:rPr>
          <w:rFonts w:ascii="Times New Roman" w:hAnsi="Times New Roman" w:cs="Times New Roman"/>
          <w:color w:val="000000"/>
          <w:sz w:val="22"/>
          <w:szCs w:val="22"/>
        </w:rPr>
        <w:t>I</w:t>
      </w:r>
      <w:r w:rsidRPr="003A5447">
        <w:rPr>
          <w:rFonts w:ascii="Times New Roman" w:hAnsi="Times New Roman" w:cs="Times New Roman"/>
          <w:color w:val="000000"/>
          <w:sz w:val="22"/>
          <w:szCs w:val="22"/>
        </w:rPr>
        <w:t>t is not a like-for-like peer.</w:t>
      </w:r>
      <w:r w:rsidRPr="003A5447">
        <w:rPr>
          <w:rStyle w:val="FootnoteReference"/>
          <w:rFonts w:ascii="Times New Roman" w:hAnsi="Times New Roman" w:cs="Times New Roman"/>
          <w:sz w:val="22"/>
          <w:szCs w:val="22"/>
        </w:rPr>
        <w:footnoteReference w:id="8"/>
      </w:r>
      <w:r w:rsidRPr="003A5447">
        <w:rPr>
          <w:rFonts w:ascii="Times New Roman" w:hAnsi="Times New Roman" w:cs="Times New Roman"/>
          <w:color w:val="000000"/>
          <w:sz w:val="22"/>
          <w:szCs w:val="22"/>
        </w:rPr>
        <w:t xml:space="preserve"> It is best read as the ceiling against which DCP-licensed players are measured.</w:t>
      </w:r>
    </w:p>
    <w:p w14:paraId="5FAC332C" w14:textId="77777777" w:rsidR="00D70087" w:rsidRPr="00EE2321" w:rsidRDefault="00000000">
      <w:pPr>
        <w:pStyle w:val="Heading2"/>
        <w:spacing w:before="160" w:after="80"/>
        <w:rPr>
          <w:rFonts w:ascii="Times New Roman" w:hAnsi="Times New Roman" w:cs="Times New Roman"/>
          <w:sz w:val="22"/>
          <w:szCs w:val="22"/>
        </w:rPr>
      </w:pPr>
      <w:r w:rsidRPr="00EE2321">
        <w:rPr>
          <w:rFonts w:ascii="Times New Roman" w:hAnsi="Times New Roman" w:cs="Times New Roman"/>
          <w:b/>
          <w:bCs/>
          <w:color w:val="000000"/>
          <w:sz w:val="22"/>
          <w:szCs w:val="22"/>
        </w:rPr>
        <w:t>Summary: Five Active Players, One Excluded Cautionary Case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0"/>
        <w:gridCol w:w="1274"/>
        <w:gridCol w:w="1094"/>
        <w:gridCol w:w="1189"/>
        <w:gridCol w:w="1094"/>
        <w:gridCol w:w="1214"/>
        <w:gridCol w:w="1825"/>
      </w:tblGrid>
      <w:tr w:rsidR="00D70087" w:rsidRPr="00EE2321" w14:paraId="27C13008" w14:textId="77777777" w:rsidTr="00EE2321">
        <w:tblPrEx>
          <w:tblCellMar>
            <w:top w:w="0" w:type="dxa"/>
            <w:bottom w:w="0" w:type="dxa"/>
          </w:tblCellMar>
        </w:tblPrEx>
        <w:trPr>
          <w:tblHeader/>
          <w:jc w:val="center"/>
        </w:trPr>
        <w:tc>
          <w:tcPr>
            <w:tcW w:w="1700" w:type="dxa"/>
            <w:shd w:val="clear" w:color="auto" w:fill="F1A983" w:themeFill="accent2" w:themeFillTint="99"/>
            <w:tcMar>
              <w:top w:w="60" w:type="dxa"/>
              <w:left w:w="100" w:type="dxa"/>
              <w:bottom w:w="60" w:type="dxa"/>
              <w:right w:w="100" w:type="dxa"/>
            </w:tcMar>
          </w:tcPr>
          <w:p w14:paraId="6C340DF3" w14:textId="77777777" w:rsidR="00D70087" w:rsidRPr="00EE2321" w:rsidRDefault="00000000">
            <w:pPr>
              <w:rPr>
                <w:rFonts w:ascii="Times New Roman" w:hAnsi="Times New Roman" w:cs="Times New Roman"/>
              </w:rPr>
            </w:pPr>
            <w:r w:rsidRPr="00EE2321">
              <w:rPr>
                <w:rFonts w:ascii="Times New Roman" w:hAnsi="Times New Roman" w:cs="Times New Roman"/>
                <w:b/>
                <w:bCs/>
                <w:color w:val="FFFFFF"/>
              </w:rPr>
              <w:t>Player</w:t>
            </w:r>
          </w:p>
        </w:tc>
        <w:tc>
          <w:tcPr>
            <w:tcW w:w="1300" w:type="dxa"/>
            <w:shd w:val="clear" w:color="auto" w:fill="F1A983" w:themeFill="accent2" w:themeFillTint="99"/>
            <w:tcMar>
              <w:top w:w="60" w:type="dxa"/>
              <w:left w:w="100" w:type="dxa"/>
              <w:bottom w:w="60" w:type="dxa"/>
              <w:right w:w="100" w:type="dxa"/>
            </w:tcMar>
          </w:tcPr>
          <w:p w14:paraId="240823DB" w14:textId="77777777" w:rsidR="00D70087" w:rsidRPr="00EE2321" w:rsidRDefault="00000000">
            <w:pPr>
              <w:rPr>
                <w:rFonts w:ascii="Times New Roman" w:hAnsi="Times New Roman" w:cs="Times New Roman"/>
              </w:rPr>
            </w:pPr>
            <w:r w:rsidRPr="00EE2321">
              <w:rPr>
                <w:rFonts w:ascii="Times New Roman" w:hAnsi="Times New Roman" w:cs="Times New Roman"/>
                <w:b/>
                <w:bCs/>
                <w:color w:val="FFFFFF"/>
              </w:rPr>
              <w:t>Tier</w:t>
            </w:r>
          </w:p>
        </w:tc>
        <w:tc>
          <w:tcPr>
            <w:tcW w:w="1100" w:type="dxa"/>
            <w:shd w:val="clear" w:color="auto" w:fill="F1A983" w:themeFill="accent2" w:themeFillTint="99"/>
            <w:tcMar>
              <w:top w:w="60" w:type="dxa"/>
              <w:left w:w="100" w:type="dxa"/>
              <w:bottom w:w="60" w:type="dxa"/>
              <w:right w:w="100" w:type="dxa"/>
            </w:tcMar>
          </w:tcPr>
          <w:p w14:paraId="675456B5" w14:textId="77777777" w:rsidR="00D70087" w:rsidRPr="00EE2321" w:rsidRDefault="00000000">
            <w:pPr>
              <w:rPr>
                <w:rFonts w:ascii="Times New Roman" w:hAnsi="Times New Roman" w:cs="Times New Roman"/>
              </w:rPr>
            </w:pPr>
            <w:r w:rsidRPr="00EE2321">
              <w:rPr>
                <w:rFonts w:ascii="Times New Roman" w:hAnsi="Times New Roman" w:cs="Times New Roman"/>
                <w:b/>
                <w:bCs/>
                <w:color w:val="FFFFFF"/>
              </w:rPr>
              <w:t>Avg APR</w:t>
            </w:r>
          </w:p>
        </w:tc>
        <w:tc>
          <w:tcPr>
            <w:tcW w:w="1100" w:type="dxa"/>
            <w:shd w:val="clear" w:color="auto" w:fill="F1A983" w:themeFill="accent2" w:themeFillTint="99"/>
            <w:tcMar>
              <w:top w:w="60" w:type="dxa"/>
              <w:left w:w="100" w:type="dxa"/>
              <w:bottom w:w="60" w:type="dxa"/>
              <w:right w:w="100" w:type="dxa"/>
            </w:tcMar>
          </w:tcPr>
          <w:p w14:paraId="298F48E7" w14:textId="77777777" w:rsidR="00D70087" w:rsidRPr="00EE2321" w:rsidRDefault="00000000">
            <w:pPr>
              <w:rPr>
                <w:rFonts w:ascii="Times New Roman" w:hAnsi="Times New Roman" w:cs="Times New Roman"/>
              </w:rPr>
            </w:pPr>
            <w:r w:rsidRPr="00EE2321">
              <w:rPr>
                <w:rFonts w:ascii="Times New Roman" w:hAnsi="Times New Roman" w:cs="Times New Roman"/>
                <w:b/>
                <w:bCs/>
                <w:color w:val="FFFFFF"/>
              </w:rPr>
              <w:t>NPL / Default</w:t>
            </w:r>
          </w:p>
        </w:tc>
        <w:tc>
          <w:tcPr>
            <w:tcW w:w="1100" w:type="dxa"/>
            <w:shd w:val="clear" w:color="auto" w:fill="F1A983" w:themeFill="accent2" w:themeFillTint="99"/>
            <w:tcMar>
              <w:top w:w="60" w:type="dxa"/>
              <w:left w:w="100" w:type="dxa"/>
              <w:bottom w:w="60" w:type="dxa"/>
              <w:right w:w="100" w:type="dxa"/>
            </w:tcMar>
          </w:tcPr>
          <w:p w14:paraId="78EC9603" w14:textId="77777777" w:rsidR="00D70087" w:rsidRPr="00EE2321" w:rsidRDefault="00000000">
            <w:pPr>
              <w:rPr>
                <w:rFonts w:ascii="Times New Roman" w:hAnsi="Times New Roman" w:cs="Times New Roman"/>
              </w:rPr>
            </w:pPr>
            <w:r w:rsidRPr="00EE2321">
              <w:rPr>
                <w:rFonts w:ascii="Times New Roman" w:hAnsi="Times New Roman" w:cs="Times New Roman"/>
                <w:b/>
                <w:bCs/>
                <w:color w:val="FFFFFF"/>
              </w:rPr>
              <w:t>Funding</w:t>
            </w:r>
          </w:p>
        </w:tc>
        <w:tc>
          <w:tcPr>
            <w:tcW w:w="1230" w:type="dxa"/>
            <w:shd w:val="clear" w:color="auto" w:fill="F1A983" w:themeFill="accent2" w:themeFillTint="99"/>
            <w:tcMar>
              <w:top w:w="60" w:type="dxa"/>
              <w:left w:w="100" w:type="dxa"/>
              <w:bottom w:w="60" w:type="dxa"/>
              <w:right w:w="100" w:type="dxa"/>
            </w:tcMar>
          </w:tcPr>
          <w:p w14:paraId="2743F7F6" w14:textId="77777777" w:rsidR="00D70087" w:rsidRPr="00EE2321" w:rsidRDefault="00000000">
            <w:pPr>
              <w:rPr>
                <w:rFonts w:ascii="Times New Roman" w:hAnsi="Times New Roman" w:cs="Times New Roman"/>
              </w:rPr>
            </w:pPr>
            <w:r w:rsidRPr="00EE2321">
              <w:rPr>
                <w:rFonts w:ascii="Times New Roman" w:hAnsi="Times New Roman" w:cs="Times New Roman"/>
                <w:b/>
                <w:bCs/>
                <w:color w:val="FFFFFF"/>
              </w:rPr>
              <w:t>Reg. Adapt.</w:t>
            </w:r>
          </w:p>
        </w:tc>
        <w:tc>
          <w:tcPr>
            <w:tcW w:w="1830" w:type="dxa"/>
            <w:shd w:val="clear" w:color="auto" w:fill="F1A983" w:themeFill="accent2" w:themeFillTint="99"/>
            <w:tcMar>
              <w:top w:w="60" w:type="dxa"/>
              <w:left w:w="100" w:type="dxa"/>
              <w:bottom w:w="60" w:type="dxa"/>
              <w:right w:w="100" w:type="dxa"/>
            </w:tcMar>
          </w:tcPr>
          <w:p w14:paraId="758C7068" w14:textId="77777777" w:rsidR="00D70087" w:rsidRPr="00EE2321" w:rsidRDefault="00000000">
            <w:pPr>
              <w:rPr>
                <w:rFonts w:ascii="Times New Roman" w:hAnsi="Times New Roman" w:cs="Times New Roman"/>
              </w:rPr>
            </w:pPr>
            <w:r w:rsidRPr="00EE2321">
              <w:rPr>
                <w:rFonts w:ascii="Times New Roman" w:hAnsi="Times New Roman" w:cs="Times New Roman"/>
                <w:b/>
                <w:bCs/>
                <w:color w:val="FFFFFF"/>
              </w:rPr>
              <w:t>Recommendation Signal</w:t>
            </w:r>
          </w:p>
        </w:tc>
      </w:tr>
      <w:tr w:rsidR="00D70087" w:rsidRPr="00EE2321" w14:paraId="77ED6524" w14:textId="77777777" w:rsidTr="00EE2321">
        <w:tblPrEx>
          <w:tblCellMar>
            <w:top w:w="0" w:type="dxa"/>
            <w:bottom w:w="0" w:type="dxa"/>
          </w:tblCellMar>
        </w:tblPrEx>
        <w:trPr>
          <w:jc w:val="center"/>
        </w:trPr>
        <w:tc>
          <w:tcPr>
            <w:tcW w:w="1700" w:type="dxa"/>
            <w:tcMar>
              <w:top w:w="60" w:type="dxa"/>
              <w:left w:w="100" w:type="dxa"/>
              <w:bottom w:w="60" w:type="dxa"/>
              <w:right w:w="100" w:type="dxa"/>
            </w:tcMar>
          </w:tcPr>
          <w:p w14:paraId="395C6C1D"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KCB M-Pesa</w:t>
            </w:r>
          </w:p>
        </w:tc>
        <w:tc>
          <w:tcPr>
            <w:tcW w:w="1300" w:type="dxa"/>
            <w:tcMar>
              <w:top w:w="60" w:type="dxa"/>
              <w:left w:w="100" w:type="dxa"/>
              <w:bottom w:w="60" w:type="dxa"/>
              <w:right w:w="100" w:type="dxa"/>
            </w:tcMar>
          </w:tcPr>
          <w:p w14:paraId="29AC59C5"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Tier 1</w:t>
            </w:r>
          </w:p>
        </w:tc>
        <w:tc>
          <w:tcPr>
            <w:tcW w:w="1100" w:type="dxa"/>
            <w:tcMar>
              <w:top w:w="60" w:type="dxa"/>
              <w:left w:w="100" w:type="dxa"/>
              <w:bottom w:w="60" w:type="dxa"/>
              <w:right w:w="100" w:type="dxa"/>
            </w:tcMar>
          </w:tcPr>
          <w:p w14:paraId="53FCAE1C"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~18–36%</w:t>
            </w:r>
          </w:p>
        </w:tc>
        <w:tc>
          <w:tcPr>
            <w:tcW w:w="1100" w:type="dxa"/>
            <w:tcMar>
              <w:top w:w="60" w:type="dxa"/>
              <w:left w:w="100" w:type="dxa"/>
              <w:bottom w:w="60" w:type="dxa"/>
              <w:right w:w="100" w:type="dxa"/>
            </w:tcMar>
          </w:tcPr>
          <w:p w14:paraId="1FB05652"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15.6% (proxy)</w:t>
            </w:r>
          </w:p>
        </w:tc>
        <w:tc>
          <w:tcPr>
            <w:tcW w:w="1100" w:type="dxa"/>
            <w:tcMar>
              <w:top w:w="60" w:type="dxa"/>
              <w:left w:w="100" w:type="dxa"/>
              <w:bottom w:w="60" w:type="dxa"/>
              <w:right w:w="100" w:type="dxa"/>
            </w:tcMar>
          </w:tcPr>
          <w:p w14:paraId="4AEC3BB7"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Bank deposits</w:t>
            </w:r>
          </w:p>
        </w:tc>
        <w:tc>
          <w:tcPr>
            <w:tcW w:w="1230" w:type="dxa"/>
            <w:tcMar>
              <w:top w:w="60" w:type="dxa"/>
              <w:left w:w="100" w:type="dxa"/>
              <w:bottom w:w="60" w:type="dxa"/>
              <w:right w:w="100" w:type="dxa"/>
            </w:tcMar>
          </w:tcPr>
          <w:p w14:paraId="63BBB099"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5/5</w:t>
            </w:r>
          </w:p>
        </w:tc>
        <w:tc>
          <w:tcPr>
            <w:tcW w:w="1830" w:type="dxa"/>
            <w:tcMar>
              <w:top w:w="60" w:type="dxa"/>
              <w:left w:w="100" w:type="dxa"/>
              <w:bottom w:w="60" w:type="dxa"/>
              <w:right w:w="100" w:type="dxa"/>
            </w:tcMar>
          </w:tcPr>
          <w:p w14:paraId="3272C49C"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Not comparable — bank product</w:t>
            </w:r>
          </w:p>
        </w:tc>
      </w:tr>
      <w:tr w:rsidR="00D70087" w:rsidRPr="00EE2321" w14:paraId="0DDF583E" w14:textId="77777777" w:rsidTr="00EE2321">
        <w:tblPrEx>
          <w:tblCellMar>
            <w:top w:w="0" w:type="dxa"/>
            <w:bottom w:w="0" w:type="dxa"/>
          </w:tblCellMar>
        </w:tblPrEx>
        <w:trPr>
          <w:jc w:val="center"/>
        </w:trPr>
        <w:tc>
          <w:tcPr>
            <w:tcW w:w="1700" w:type="dxa"/>
            <w:tcMar>
              <w:top w:w="60" w:type="dxa"/>
              <w:left w:w="100" w:type="dxa"/>
              <w:bottom w:w="60" w:type="dxa"/>
              <w:right w:w="100" w:type="dxa"/>
            </w:tcMar>
          </w:tcPr>
          <w:p w14:paraId="694E196D"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4G Capital</w:t>
            </w:r>
          </w:p>
        </w:tc>
        <w:tc>
          <w:tcPr>
            <w:tcW w:w="1300" w:type="dxa"/>
            <w:tcMar>
              <w:top w:w="60" w:type="dxa"/>
              <w:left w:w="100" w:type="dxa"/>
              <w:bottom w:w="60" w:type="dxa"/>
              <w:right w:w="100" w:type="dxa"/>
            </w:tcMar>
          </w:tcPr>
          <w:p w14:paraId="74325478"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Tier 2</w:t>
            </w:r>
          </w:p>
        </w:tc>
        <w:tc>
          <w:tcPr>
            <w:tcW w:w="1100" w:type="dxa"/>
            <w:tcMar>
              <w:top w:w="60" w:type="dxa"/>
              <w:left w:w="100" w:type="dxa"/>
              <w:bottom w:w="60" w:type="dxa"/>
              <w:right w:w="100" w:type="dxa"/>
            </w:tcMar>
          </w:tcPr>
          <w:p w14:paraId="49DF72AF"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Not disclosed</w:t>
            </w:r>
          </w:p>
        </w:tc>
        <w:tc>
          <w:tcPr>
            <w:tcW w:w="1100" w:type="dxa"/>
            <w:tcMar>
              <w:top w:w="60" w:type="dxa"/>
              <w:left w:w="100" w:type="dxa"/>
              <w:bottom w:w="60" w:type="dxa"/>
              <w:right w:w="100" w:type="dxa"/>
            </w:tcMar>
          </w:tcPr>
          <w:p w14:paraId="1C3F7D6A"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5%</w:t>
            </w:r>
          </w:p>
        </w:tc>
        <w:tc>
          <w:tcPr>
            <w:tcW w:w="1100" w:type="dxa"/>
            <w:tcMar>
              <w:top w:w="60" w:type="dxa"/>
              <w:left w:w="100" w:type="dxa"/>
              <w:bottom w:w="60" w:type="dxa"/>
              <w:right w:w="100" w:type="dxa"/>
            </w:tcMar>
          </w:tcPr>
          <w:p w14:paraId="4ABB1D2E"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Local debt</w:t>
            </w:r>
          </w:p>
        </w:tc>
        <w:tc>
          <w:tcPr>
            <w:tcW w:w="1230" w:type="dxa"/>
            <w:tcMar>
              <w:top w:w="60" w:type="dxa"/>
              <w:left w:w="100" w:type="dxa"/>
              <w:bottom w:w="60" w:type="dxa"/>
              <w:right w:w="100" w:type="dxa"/>
            </w:tcMar>
          </w:tcPr>
          <w:p w14:paraId="075B471B"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5/5</w:t>
            </w:r>
          </w:p>
        </w:tc>
        <w:tc>
          <w:tcPr>
            <w:tcW w:w="1830" w:type="dxa"/>
            <w:tcMar>
              <w:top w:w="60" w:type="dxa"/>
              <w:left w:w="100" w:type="dxa"/>
              <w:bottom w:w="60" w:type="dxa"/>
              <w:right w:w="100" w:type="dxa"/>
            </w:tcMar>
          </w:tcPr>
          <w:p w14:paraId="53C37EAB"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Recommended</w:t>
            </w:r>
          </w:p>
        </w:tc>
      </w:tr>
      <w:tr w:rsidR="00D70087" w:rsidRPr="00EE2321" w14:paraId="64CEB4E8" w14:textId="77777777" w:rsidTr="00EE2321">
        <w:tblPrEx>
          <w:tblCellMar>
            <w:top w:w="0" w:type="dxa"/>
            <w:bottom w:w="0" w:type="dxa"/>
          </w:tblCellMar>
        </w:tblPrEx>
        <w:trPr>
          <w:jc w:val="center"/>
        </w:trPr>
        <w:tc>
          <w:tcPr>
            <w:tcW w:w="1700" w:type="dxa"/>
            <w:tcMar>
              <w:top w:w="60" w:type="dxa"/>
              <w:left w:w="100" w:type="dxa"/>
              <w:bottom w:w="60" w:type="dxa"/>
              <w:right w:w="100" w:type="dxa"/>
            </w:tcMar>
          </w:tcPr>
          <w:p w14:paraId="4C48E823"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Pezesha</w:t>
            </w:r>
          </w:p>
        </w:tc>
        <w:tc>
          <w:tcPr>
            <w:tcW w:w="1300" w:type="dxa"/>
            <w:tcMar>
              <w:top w:w="60" w:type="dxa"/>
              <w:left w:w="100" w:type="dxa"/>
              <w:bottom w:w="60" w:type="dxa"/>
              <w:right w:w="100" w:type="dxa"/>
            </w:tcMar>
          </w:tcPr>
          <w:p w14:paraId="23FE6799"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Tier 2.5</w:t>
            </w:r>
          </w:p>
        </w:tc>
        <w:tc>
          <w:tcPr>
            <w:tcW w:w="1100" w:type="dxa"/>
            <w:tcMar>
              <w:top w:w="60" w:type="dxa"/>
              <w:left w:w="100" w:type="dxa"/>
              <w:bottom w:w="60" w:type="dxa"/>
              <w:right w:w="100" w:type="dxa"/>
            </w:tcMar>
          </w:tcPr>
          <w:p w14:paraId="71D92D19"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~24–58%</w:t>
            </w:r>
          </w:p>
        </w:tc>
        <w:tc>
          <w:tcPr>
            <w:tcW w:w="1100" w:type="dxa"/>
            <w:tcMar>
              <w:top w:w="60" w:type="dxa"/>
              <w:left w:w="100" w:type="dxa"/>
              <w:bottom w:w="60" w:type="dxa"/>
              <w:right w:w="100" w:type="dxa"/>
            </w:tcMar>
          </w:tcPr>
          <w:p w14:paraId="33A41417"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4% (core)</w:t>
            </w:r>
          </w:p>
        </w:tc>
        <w:tc>
          <w:tcPr>
            <w:tcW w:w="1100" w:type="dxa"/>
            <w:tcMar>
              <w:top w:w="60" w:type="dxa"/>
              <w:left w:w="100" w:type="dxa"/>
              <w:bottom w:w="60" w:type="dxa"/>
              <w:right w:w="100" w:type="dxa"/>
            </w:tcMar>
          </w:tcPr>
          <w:p w14:paraId="38A38182"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Equity + grant</w:t>
            </w:r>
          </w:p>
        </w:tc>
        <w:tc>
          <w:tcPr>
            <w:tcW w:w="1230" w:type="dxa"/>
            <w:tcMar>
              <w:top w:w="60" w:type="dxa"/>
              <w:left w:w="100" w:type="dxa"/>
              <w:bottom w:w="60" w:type="dxa"/>
              <w:right w:w="100" w:type="dxa"/>
            </w:tcMar>
          </w:tcPr>
          <w:p w14:paraId="73AC392E"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5/5</w:t>
            </w:r>
          </w:p>
        </w:tc>
        <w:tc>
          <w:tcPr>
            <w:tcW w:w="1830" w:type="dxa"/>
            <w:tcMar>
              <w:top w:w="60" w:type="dxa"/>
              <w:left w:w="100" w:type="dxa"/>
              <w:bottom w:w="60" w:type="dxa"/>
              <w:right w:w="100" w:type="dxa"/>
            </w:tcMar>
          </w:tcPr>
          <w:p w14:paraId="311A9B90"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Strong, funding immature</w:t>
            </w:r>
          </w:p>
        </w:tc>
      </w:tr>
      <w:tr w:rsidR="00D70087" w:rsidRPr="00EE2321" w14:paraId="474CE431" w14:textId="77777777" w:rsidTr="00EE2321">
        <w:tblPrEx>
          <w:tblCellMar>
            <w:top w:w="0" w:type="dxa"/>
            <w:bottom w:w="0" w:type="dxa"/>
          </w:tblCellMar>
        </w:tblPrEx>
        <w:trPr>
          <w:jc w:val="center"/>
        </w:trPr>
        <w:tc>
          <w:tcPr>
            <w:tcW w:w="1700" w:type="dxa"/>
            <w:tcMar>
              <w:top w:w="60" w:type="dxa"/>
              <w:left w:w="100" w:type="dxa"/>
              <w:bottom w:w="60" w:type="dxa"/>
              <w:right w:w="100" w:type="dxa"/>
            </w:tcMar>
          </w:tcPr>
          <w:p w14:paraId="68FF2110"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Tala</w:t>
            </w:r>
          </w:p>
        </w:tc>
        <w:tc>
          <w:tcPr>
            <w:tcW w:w="1300" w:type="dxa"/>
            <w:tcMar>
              <w:top w:w="60" w:type="dxa"/>
              <w:left w:w="100" w:type="dxa"/>
              <w:bottom w:w="60" w:type="dxa"/>
              <w:right w:w="100" w:type="dxa"/>
            </w:tcMar>
          </w:tcPr>
          <w:p w14:paraId="1EA45B86"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Tier 3</w:t>
            </w:r>
          </w:p>
        </w:tc>
        <w:tc>
          <w:tcPr>
            <w:tcW w:w="1100" w:type="dxa"/>
            <w:tcMar>
              <w:top w:w="60" w:type="dxa"/>
              <w:left w:w="100" w:type="dxa"/>
              <w:bottom w:w="60" w:type="dxa"/>
              <w:right w:w="100" w:type="dxa"/>
            </w:tcMar>
          </w:tcPr>
          <w:p w14:paraId="2257EF0F"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≥109.5%</w:t>
            </w:r>
          </w:p>
        </w:tc>
        <w:tc>
          <w:tcPr>
            <w:tcW w:w="1100" w:type="dxa"/>
            <w:tcMar>
              <w:top w:w="60" w:type="dxa"/>
              <w:left w:w="100" w:type="dxa"/>
              <w:bottom w:w="60" w:type="dxa"/>
              <w:right w:w="100" w:type="dxa"/>
            </w:tcMar>
          </w:tcPr>
          <w:p w14:paraId="227AE1F3"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12.4%</w:t>
            </w:r>
          </w:p>
        </w:tc>
        <w:tc>
          <w:tcPr>
            <w:tcW w:w="1100" w:type="dxa"/>
            <w:tcMar>
              <w:top w:w="60" w:type="dxa"/>
              <w:left w:w="100" w:type="dxa"/>
              <w:bottom w:w="60" w:type="dxa"/>
              <w:right w:w="100" w:type="dxa"/>
            </w:tcMar>
          </w:tcPr>
          <w:p w14:paraId="5F3AF666"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VC equity</w:t>
            </w:r>
          </w:p>
        </w:tc>
        <w:tc>
          <w:tcPr>
            <w:tcW w:w="1230" w:type="dxa"/>
            <w:tcMar>
              <w:top w:w="60" w:type="dxa"/>
              <w:left w:w="100" w:type="dxa"/>
              <w:bottom w:w="60" w:type="dxa"/>
              <w:right w:w="100" w:type="dxa"/>
            </w:tcMar>
          </w:tcPr>
          <w:p w14:paraId="740BA010"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3/5</w:t>
            </w:r>
          </w:p>
        </w:tc>
        <w:tc>
          <w:tcPr>
            <w:tcW w:w="1830" w:type="dxa"/>
            <w:tcMar>
              <w:top w:w="60" w:type="dxa"/>
              <w:left w:w="100" w:type="dxa"/>
              <w:bottom w:w="60" w:type="dxa"/>
              <w:right w:w="100" w:type="dxa"/>
            </w:tcMar>
          </w:tcPr>
          <w:p w14:paraId="7D086D0F"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Survives, not advantaged</w:t>
            </w:r>
          </w:p>
        </w:tc>
      </w:tr>
      <w:tr w:rsidR="00D70087" w:rsidRPr="00EE2321" w14:paraId="1A2CD73E" w14:textId="77777777" w:rsidTr="00EE2321">
        <w:tblPrEx>
          <w:tblCellMar>
            <w:top w:w="0" w:type="dxa"/>
            <w:bottom w:w="0" w:type="dxa"/>
          </w:tblCellMar>
        </w:tblPrEx>
        <w:trPr>
          <w:jc w:val="center"/>
        </w:trPr>
        <w:tc>
          <w:tcPr>
            <w:tcW w:w="1700" w:type="dxa"/>
            <w:tcMar>
              <w:top w:w="60" w:type="dxa"/>
              <w:left w:w="100" w:type="dxa"/>
              <w:bottom w:w="60" w:type="dxa"/>
              <w:right w:w="100" w:type="dxa"/>
            </w:tcMar>
          </w:tcPr>
          <w:p w14:paraId="6BDAFC7F"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Zenka</w:t>
            </w:r>
          </w:p>
        </w:tc>
        <w:tc>
          <w:tcPr>
            <w:tcW w:w="1300" w:type="dxa"/>
            <w:tcMar>
              <w:top w:w="60" w:type="dxa"/>
              <w:left w:w="100" w:type="dxa"/>
              <w:bottom w:w="60" w:type="dxa"/>
              <w:right w:w="100" w:type="dxa"/>
            </w:tcMar>
          </w:tcPr>
          <w:p w14:paraId="4B158607"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Tier 4</w:t>
            </w:r>
          </w:p>
        </w:tc>
        <w:tc>
          <w:tcPr>
            <w:tcW w:w="1100" w:type="dxa"/>
            <w:tcMar>
              <w:top w:w="60" w:type="dxa"/>
              <w:left w:w="100" w:type="dxa"/>
              <w:bottom w:w="60" w:type="dxa"/>
              <w:right w:w="100" w:type="dxa"/>
            </w:tcMar>
          </w:tcPr>
          <w:p w14:paraId="13C397FB"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30–4,432%</w:t>
            </w:r>
          </w:p>
        </w:tc>
        <w:tc>
          <w:tcPr>
            <w:tcW w:w="1100" w:type="dxa"/>
            <w:tcMar>
              <w:top w:w="60" w:type="dxa"/>
              <w:left w:w="100" w:type="dxa"/>
              <w:bottom w:w="60" w:type="dxa"/>
              <w:right w:w="100" w:type="dxa"/>
            </w:tcMar>
          </w:tcPr>
          <w:p w14:paraId="51AA3F11"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Undisclosed</w:t>
            </w:r>
          </w:p>
        </w:tc>
        <w:tc>
          <w:tcPr>
            <w:tcW w:w="1100" w:type="dxa"/>
            <w:tcMar>
              <w:top w:w="60" w:type="dxa"/>
              <w:left w:w="100" w:type="dxa"/>
              <w:bottom w:w="60" w:type="dxa"/>
              <w:right w:w="100" w:type="dxa"/>
            </w:tcMar>
          </w:tcPr>
          <w:p w14:paraId="0B424293"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Foreign parent</w:t>
            </w:r>
          </w:p>
        </w:tc>
        <w:tc>
          <w:tcPr>
            <w:tcW w:w="1230" w:type="dxa"/>
            <w:tcMar>
              <w:top w:w="60" w:type="dxa"/>
              <w:left w:w="100" w:type="dxa"/>
              <w:bottom w:w="60" w:type="dxa"/>
              <w:right w:w="100" w:type="dxa"/>
            </w:tcMar>
          </w:tcPr>
          <w:p w14:paraId="0800BB40"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2/5</w:t>
            </w:r>
          </w:p>
        </w:tc>
        <w:tc>
          <w:tcPr>
            <w:tcW w:w="1830" w:type="dxa"/>
            <w:tcMar>
              <w:top w:w="60" w:type="dxa"/>
              <w:left w:w="100" w:type="dxa"/>
              <w:bottom w:w="60" w:type="dxa"/>
              <w:right w:w="100" w:type="dxa"/>
            </w:tcMar>
          </w:tcPr>
          <w:p w14:paraId="1F1C426B"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Avoid</w:t>
            </w:r>
          </w:p>
        </w:tc>
      </w:tr>
    </w:tbl>
    <w:p w14:paraId="454A2D3B" w14:textId="77777777" w:rsidR="00D70087" w:rsidRPr="00EE2321" w:rsidRDefault="00000000" w:rsidP="00EE2321">
      <w:pPr>
        <w:spacing w:after="160"/>
        <w:jc w:val="center"/>
        <w:rPr>
          <w:rFonts w:ascii="Times New Roman" w:hAnsi="Times New Roman" w:cs="Times New Roman"/>
        </w:rPr>
      </w:pPr>
      <w:r w:rsidRPr="00EE2321">
        <w:rPr>
          <w:rFonts w:ascii="Times New Roman" w:hAnsi="Times New Roman" w:cs="Times New Roman"/>
          <w:i/>
          <w:iCs/>
          <w:color w:val="595959"/>
        </w:rPr>
        <w:t>Lipa Later (DCP #27) is excluded from the recommendation; it entered administration in 2025 and is treated separately as a cautionary case (Section 4).</w:t>
      </w:r>
    </w:p>
    <w:p w14:paraId="49B603C1" w14:textId="77777777" w:rsidR="00D70087" w:rsidRPr="00EE2321" w:rsidRDefault="00000000">
      <w:pPr>
        <w:pStyle w:val="Heading2"/>
        <w:spacing w:before="160" w:after="80"/>
        <w:rPr>
          <w:rFonts w:ascii="Times New Roman" w:hAnsi="Times New Roman" w:cs="Times New Roman"/>
          <w:sz w:val="22"/>
          <w:szCs w:val="22"/>
        </w:rPr>
      </w:pPr>
      <w:r w:rsidRPr="00EE2321">
        <w:rPr>
          <w:rFonts w:ascii="Times New Roman" w:hAnsi="Times New Roman" w:cs="Times New Roman"/>
          <w:b/>
          <w:bCs/>
          <w:color w:val="000000"/>
          <w:sz w:val="22"/>
          <w:szCs w:val="22"/>
        </w:rPr>
        <w:t>The Regulatory Bar Was Set Deliberately High, and the Market Has Responded</w:t>
      </w:r>
    </w:p>
    <w:p w14:paraId="66BADC5A" w14:textId="07764950" w:rsidR="00D70087" w:rsidRPr="00EE2321" w:rsidRDefault="00000000">
      <w:pPr>
        <w:spacing w:after="120"/>
        <w:jc w:val="both"/>
        <w:rPr>
          <w:rFonts w:ascii="Times New Roman" w:hAnsi="Times New Roman" w:cs="Times New Roman"/>
          <w:sz w:val="22"/>
          <w:szCs w:val="22"/>
        </w:rPr>
      </w:pPr>
      <w:r w:rsidRPr="00EE2321">
        <w:rPr>
          <w:rFonts w:ascii="Times New Roman" w:hAnsi="Times New Roman" w:cs="Times New Roman"/>
          <w:color w:val="000000"/>
          <w:sz w:val="22"/>
          <w:szCs w:val="22"/>
        </w:rPr>
        <w:t>As of December 2021, 4.6 million of Kenya’s 15 million digital credit accounts were negatively listed with credit reference bureaus, and the FinAccess Survey 2021 found that 45.8% of borrowers either defaulted or paid late, with over 70% of those affected earning below KES 25,000 per month.</w:t>
      </w:r>
      <w:r w:rsidRPr="00EE2321">
        <w:rPr>
          <w:rStyle w:val="FootnoteReference"/>
          <w:rFonts w:ascii="Times New Roman" w:hAnsi="Times New Roman" w:cs="Times New Roman"/>
          <w:sz w:val="22"/>
          <w:szCs w:val="22"/>
        </w:rPr>
        <w:footnoteReference w:id="9"/>
      </w:r>
      <w:r w:rsidRPr="00EE2321">
        <w:rPr>
          <w:rFonts w:ascii="Times New Roman" w:hAnsi="Times New Roman" w:cs="Times New Roman"/>
          <w:color w:val="000000"/>
          <w:sz w:val="22"/>
          <w:szCs w:val="22"/>
        </w:rPr>
        <w:t xml:space="preserve"> The CBK’s response was a deliberately high bar: only 10 of 288 initial applicants were licensed at the framework’s September 2022 launch, rising to 32 licensed DCPs by the end of 2023.</w:t>
      </w:r>
      <w:r w:rsidRPr="00EE2321">
        <w:rPr>
          <w:rStyle w:val="FootnoteReference"/>
          <w:rFonts w:ascii="Times New Roman" w:hAnsi="Times New Roman" w:cs="Times New Roman"/>
          <w:sz w:val="22"/>
          <w:szCs w:val="22"/>
        </w:rPr>
        <w:footnoteReference w:id="10"/>
      </w:r>
      <w:r w:rsidRPr="00EE2321">
        <w:rPr>
          <w:rFonts w:ascii="Times New Roman" w:hAnsi="Times New Roman" w:cs="Times New Roman"/>
          <w:color w:val="000000"/>
          <w:sz w:val="22"/>
          <w:szCs w:val="22"/>
        </w:rPr>
        <w:t xml:space="preserve"> The bar is also reshaping demand: by 2023, 41% of Tala borrowers cited CBK licensing </w:t>
      </w:r>
      <w:r w:rsidRPr="00EE2321">
        <w:rPr>
          <w:rFonts w:ascii="Times New Roman" w:hAnsi="Times New Roman" w:cs="Times New Roman"/>
          <w:color w:val="000000"/>
          <w:sz w:val="22"/>
          <w:szCs w:val="22"/>
        </w:rPr>
        <w:lastRenderedPageBreak/>
        <w:t>as a factor in choosing a digital lender, up from near-zero before 2022 (Tala MoneyMarch 2023)</w:t>
      </w:r>
      <w:r w:rsidRPr="00EE2321">
        <w:rPr>
          <w:rStyle w:val="FootnoteReference"/>
          <w:rFonts w:ascii="Times New Roman" w:hAnsi="Times New Roman" w:cs="Times New Roman"/>
          <w:sz w:val="22"/>
          <w:szCs w:val="22"/>
        </w:rPr>
        <w:footnoteReference w:id="11"/>
      </w:r>
      <w:r w:rsidR="00EE2321">
        <w:rPr>
          <w:rFonts w:ascii="Times New Roman" w:hAnsi="Times New Roman" w:cs="Times New Roman"/>
          <w:color w:val="000000"/>
          <w:sz w:val="22"/>
          <w:szCs w:val="22"/>
        </w:rPr>
        <w:t>. D</w:t>
      </w:r>
      <w:r w:rsidRPr="00EE2321">
        <w:rPr>
          <w:rFonts w:ascii="Times New Roman" w:hAnsi="Times New Roman" w:cs="Times New Roman"/>
          <w:color w:val="000000"/>
          <w:sz w:val="22"/>
          <w:szCs w:val="22"/>
        </w:rPr>
        <w:t>isclosure is becoming a market signal borrowers actively use, not merely a compliance formality imposed on providers.</w:t>
      </w:r>
    </w:p>
    <w:p w14:paraId="29A44F59" w14:textId="5CC83A73" w:rsidR="00D70087" w:rsidRPr="00EE2321" w:rsidRDefault="00000000">
      <w:pPr>
        <w:spacing w:after="120"/>
        <w:jc w:val="both"/>
        <w:rPr>
          <w:rFonts w:ascii="Times New Roman" w:hAnsi="Times New Roman" w:cs="Times New Roman"/>
          <w:color w:val="000000"/>
          <w:sz w:val="22"/>
          <w:szCs w:val="22"/>
        </w:rPr>
      </w:pPr>
      <w:r w:rsidRPr="00EE2321">
        <w:rPr>
          <w:rFonts w:ascii="Times New Roman" w:hAnsi="Times New Roman" w:cs="Times New Roman"/>
          <w:color w:val="000000"/>
          <w:sz w:val="22"/>
          <w:szCs w:val="22"/>
        </w:rPr>
        <w:t>For context, Kenya’s conventional banking sector carried a non-performing loan (NPL) ratio of 15.6% in December 2023</w:t>
      </w:r>
      <w:r w:rsidRPr="00EE2321">
        <w:rPr>
          <w:rStyle w:val="FootnoteReference"/>
          <w:rFonts w:ascii="Times New Roman" w:hAnsi="Times New Roman" w:cs="Times New Roman"/>
          <w:sz w:val="22"/>
          <w:szCs w:val="22"/>
        </w:rPr>
        <w:footnoteReference w:id="12"/>
      </w:r>
      <w:r w:rsidR="00EE2321">
        <w:rPr>
          <w:rFonts w:ascii="Times New Roman" w:hAnsi="Times New Roman" w:cs="Times New Roman"/>
          <w:color w:val="000000"/>
          <w:sz w:val="22"/>
          <w:szCs w:val="22"/>
        </w:rPr>
        <w:t xml:space="preserve">, </w:t>
      </w:r>
      <w:r w:rsidRPr="00EE2321">
        <w:rPr>
          <w:rFonts w:ascii="Times New Roman" w:hAnsi="Times New Roman" w:cs="Times New Roman"/>
          <w:color w:val="000000"/>
          <w:sz w:val="22"/>
          <w:szCs w:val="22"/>
        </w:rPr>
        <w:t>microfinance banks (MFBs) carried 32.9% (June 2023)</w:t>
      </w:r>
      <w:r w:rsidRPr="00EE2321">
        <w:rPr>
          <w:rStyle w:val="FootnoteReference"/>
          <w:rFonts w:ascii="Times New Roman" w:hAnsi="Times New Roman" w:cs="Times New Roman"/>
          <w:sz w:val="22"/>
          <w:szCs w:val="22"/>
        </w:rPr>
        <w:footnoteReference w:id="13"/>
      </w:r>
      <w:r w:rsidR="00EE2321">
        <w:rPr>
          <w:rFonts w:ascii="Times New Roman" w:hAnsi="Times New Roman" w:cs="Times New Roman"/>
          <w:color w:val="000000"/>
          <w:sz w:val="22"/>
          <w:szCs w:val="22"/>
        </w:rPr>
        <w:t xml:space="preserve"> and</w:t>
      </w:r>
      <w:r w:rsidRPr="00EE2321">
        <w:rPr>
          <w:rFonts w:ascii="Times New Roman" w:hAnsi="Times New Roman" w:cs="Times New Roman"/>
          <w:color w:val="000000"/>
          <w:sz w:val="22"/>
          <w:szCs w:val="22"/>
        </w:rPr>
        <w:t xml:space="preserve"> Safaricom’s Fuliza overdraft product, likewise outside the DCP framework, carried 8.2%.</w:t>
      </w:r>
      <w:r w:rsidRPr="00EE2321">
        <w:rPr>
          <w:rStyle w:val="FootnoteReference"/>
          <w:rFonts w:ascii="Times New Roman" w:hAnsi="Times New Roman" w:cs="Times New Roman"/>
          <w:sz w:val="22"/>
          <w:szCs w:val="22"/>
        </w:rPr>
        <w:footnoteReference w:id="14"/>
      </w:r>
      <w:r w:rsidRPr="00EE2321">
        <w:rPr>
          <w:rFonts w:ascii="Times New Roman" w:hAnsi="Times New Roman" w:cs="Times New Roman"/>
          <w:color w:val="000000"/>
          <w:sz w:val="22"/>
          <w:szCs w:val="22"/>
        </w:rPr>
        <w:t xml:space="preserve"> Licensed DCPs in this analysis range from below the banking-sector benchmark (4G Capital, Pezesha’s core book) to well above the MFB benchmark (Tala)</w:t>
      </w:r>
      <w:r w:rsidR="00EE2321">
        <w:rPr>
          <w:rFonts w:ascii="Times New Roman" w:hAnsi="Times New Roman" w:cs="Times New Roman"/>
          <w:color w:val="000000"/>
          <w:sz w:val="22"/>
          <w:szCs w:val="22"/>
        </w:rPr>
        <w:t xml:space="preserve">, showing that </w:t>
      </w:r>
      <w:r w:rsidRPr="00EE2321">
        <w:rPr>
          <w:rFonts w:ascii="Times New Roman" w:hAnsi="Times New Roman" w:cs="Times New Roman"/>
          <w:color w:val="000000"/>
          <w:sz w:val="22"/>
          <w:szCs w:val="22"/>
        </w:rPr>
        <w:t>“licensed” spans a wide quality range that should not be treated as homogeneous by capital allocators.</w:t>
      </w:r>
    </w:p>
    <w:p w14:paraId="1FC67BAA" w14:textId="77777777" w:rsidR="003A5447" w:rsidRPr="003A5447" w:rsidRDefault="003A5447">
      <w:pPr>
        <w:spacing w:after="120"/>
        <w:jc w:val="both"/>
        <w:rPr>
          <w:rFonts w:ascii="Times New Roman" w:hAnsi="Times New Roman" w:cs="Times New Roman"/>
        </w:rPr>
      </w:pPr>
    </w:p>
    <w:p w14:paraId="1F84DD54" w14:textId="77777777" w:rsidR="00D70087" w:rsidRPr="003A5447" w:rsidRDefault="00000000" w:rsidP="003A5447">
      <w:pPr>
        <w:pStyle w:val="Heading1"/>
        <w:pBdr>
          <w:bottom w:val="single" w:sz="4" w:space="2" w:color="auto"/>
        </w:pBdr>
        <w:spacing w:before="220" w:after="120"/>
        <w:rPr>
          <w:rFonts w:ascii="Times New Roman" w:hAnsi="Times New Roman" w:cs="Times New Roman"/>
          <w:color w:val="BF4E14" w:themeColor="accent2" w:themeShade="BF"/>
        </w:rPr>
      </w:pPr>
      <w:r w:rsidRPr="003A5447">
        <w:rPr>
          <w:rFonts w:ascii="Times New Roman" w:hAnsi="Times New Roman" w:cs="Times New Roman"/>
          <w:b/>
          <w:bCs/>
          <w:color w:val="BF4E14" w:themeColor="accent2" w:themeShade="BF"/>
          <w:sz w:val="25"/>
          <w:szCs w:val="25"/>
        </w:rPr>
        <w:t>2. 4G Capital Leads on the Three Dimensions That Determine Defensibility Under Tightening Regulation</w:t>
      </w:r>
    </w:p>
    <w:p w14:paraId="472BAABE" w14:textId="77777777" w:rsidR="00D70087" w:rsidRPr="003A5447" w:rsidRDefault="00000000">
      <w:pPr>
        <w:spacing w:after="120"/>
        <w:jc w:val="both"/>
        <w:rPr>
          <w:rFonts w:ascii="Times New Roman" w:hAnsi="Times New Roman" w:cs="Times New Roman"/>
        </w:rPr>
      </w:pPr>
      <w:r w:rsidRPr="00EE2321">
        <w:rPr>
          <w:rFonts w:ascii="Times New Roman" w:hAnsi="Times New Roman" w:cs="Times New Roman"/>
          <w:color w:val="000000"/>
          <w:sz w:val="22"/>
          <w:szCs w:val="22"/>
        </w:rPr>
        <w:t>The case for 4G Capital rests on three mutually exclusive pillars: underwriting methodology, funding resilience, and regulatory trajectory</w:t>
      </w:r>
      <w:r w:rsidRPr="003A5447">
        <w:rPr>
          <w:rFonts w:ascii="Times New Roman" w:hAnsi="Times New Roman" w:cs="Times New Roman"/>
          <w:color w:val="000000"/>
        </w:rP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60"/>
        <w:gridCol w:w="3100"/>
      </w:tblGrid>
      <w:tr w:rsidR="00D70087" w:rsidRPr="00EE2321" w14:paraId="26F6320A" w14:textId="77777777" w:rsidTr="00EE2321">
        <w:tblPrEx>
          <w:tblCellMar>
            <w:top w:w="0" w:type="dxa"/>
            <w:bottom w:w="0" w:type="dxa"/>
          </w:tblCellMar>
        </w:tblPrEx>
        <w:trPr>
          <w:tblHeader/>
          <w:jc w:val="center"/>
        </w:trPr>
        <w:tc>
          <w:tcPr>
            <w:tcW w:w="2200" w:type="dxa"/>
            <w:shd w:val="clear" w:color="auto" w:fill="F1A983" w:themeFill="accent2" w:themeFillTint="99"/>
            <w:tcMar>
              <w:top w:w="60" w:type="dxa"/>
              <w:left w:w="100" w:type="dxa"/>
              <w:bottom w:w="60" w:type="dxa"/>
              <w:right w:w="100" w:type="dxa"/>
            </w:tcMar>
          </w:tcPr>
          <w:p w14:paraId="714222F2" w14:textId="77777777" w:rsidR="00D70087" w:rsidRPr="00EE2321" w:rsidRDefault="00000000">
            <w:pPr>
              <w:rPr>
                <w:rFonts w:ascii="Times New Roman" w:hAnsi="Times New Roman" w:cs="Times New Roman"/>
              </w:rPr>
            </w:pPr>
            <w:r w:rsidRPr="00EE2321">
              <w:rPr>
                <w:rFonts w:ascii="Times New Roman" w:hAnsi="Times New Roman" w:cs="Times New Roman"/>
                <w:b/>
                <w:bCs/>
                <w:color w:val="FFFFFF"/>
              </w:rPr>
              <w:t>Pillar</w:t>
            </w:r>
          </w:p>
        </w:tc>
        <w:tc>
          <w:tcPr>
            <w:tcW w:w="4060" w:type="dxa"/>
            <w:shd w:val="clear" w:color="auto" w:fill="F1A983" w:themeFill="accent2" w:themeFillTint="99"/>
            <w:tcMar>
              <w:top w:w="60" w:type="dxa"/>
              <w:left w:w="100" w:type="dxa"/>
              <w:bottom w:w="60" w:type="dxa"/>
              <w:right w:w="100" w:type="dxa"/>
            </w:tcMar>
          </w:tcPr>
          <w:p w14:paraId="11439BA6" w14:textId="77777777" w:rsidR="00D70087" w:rsidRPr="00EE2321" w:rsidRDefault="00000000">
            <w:pPr>
              <w:rPr>
                <w:rFonts w:ascii="Times New Roman" w:hAnsi="Times New Roman" w:cs="Times New Roman"/>
              </w:rPr>
            </w:pPr>
            <w:r w:rsidRPr="00EE2321">
              <w:rPr>
                <w:rFonts w:ascii="Times New Roman" w:hAnsi="Times New Roman" w:cs="Times New Roman"/>
                <w:b/>
                <w:bCs/>
                <w:color w:val="FFFFFF"/>
              </w:rPr>
              <w:t>Core Distinction</w:t>
            </w:r>
          </w:p>
        </w:tc>
        <w:tc>
          <w:tcPr>
            <w:tcW w:w="3100" w:type="dxa"/>
            <w:shd w:val="clear" w:color="auto" w:fill="F1A983" w:themeFill="accent2" w:themeFillTint="99"/>
            <w:tcMar>
              <w:top w:w="60" w:type="dxa"/>
              <w:left w:w="100" w:type="dxa"/>
              <w:bottom w:w="60" w:type="dxa"/>
              <w:right w:w="100" w:type="dxa"/>
            </w:tcMar>
          </w:tcPr>
          <w:p w14:paraId="69B6DAD6" w14:textId="77777777" w:rsidR="00D70087" w:rsidRPr="00EE2321" w:rsidRDefault="00000000">
            <w:pPr>
              <w:rPr>
                <w:rFonts w:ascii="Times New Roman" w:hAnsi="Times New Roman" w:cs="Times New Roman"/>
              </w:rPr>
            </w:pPr>
            <w:r w:rsidRPr="00EE2321">
              <w:rPr>
                <w:rFonts w:ascii="Times New Roman" w:hAnsi="Times New Roman" w:cs="Times New Roman"/>
                <w:b/>
                <w:bCs/>
                <w:color w:val="FFFFFF"/>
              </w:rPr>
              <w:t>4G Capital's Position</w:t>
            </w:r>
          </w:p>
        </w:tc>
      </w:tr>
      <w:tr w:rsidR="00D70087" w:rsidRPr="00EE2321" w14:paraId="7BCF1413" w14:textId="77777777" w:rsidTr="00EE2321">
        <w:tblPrEx>
          <w:tblCellMar>
            <w:top w:w="0" w:type="dxa"/>
            <w:bottom w:w="0" w:type="dxa"/>
          </w:tblCellMar>
        </w:tblPrEx>
        <w:trPr>
          <w:jc w:val="center"/>
        </w:trPr>
        <w:tc>
          <w:tcPr>
            <w:tcW w:w="2200" w:type="dxa"/>
            <w:tcMar>
              <w:top w:w="60" w:type="dxa"/>
              <w:left w:w="100" w:type="dxa"/>
              <w:bottom w:w="60" w:type="dxa"/>
              <w:right w:w="100" w:type="dxa"/>
            </w:tcMar>
          </w:tcPr>
          <w:p w14:paraId="4DEA6B7F"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Pillar 1: Underwriting Methodology</w:t>
            </w:r>
          </w:p>
        </w:tc>
        <w:tc>
          <w:tcPr>
            <w:tcW w:w="4060" w:type="dxa"/>
            <w:tcMar>
              <w:top w:w="60" w:type="dxa"/>
              <w:left w:w="100" w:type="dxa"/>
              <w:bottom w:w="60" w:type="dxa"/>
              <w:right w:w="100" w:type="dxa"/>
            </w:tcMar>
          </w:tcPr>
          <w:p w14:paraId="352AB404"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Verified business performance data vs. behavioral phone-usage proxies</w:t>
            </w:r>
          </w:p>
        </w:tc>
        <w:tc>
          <w:tcPr>
            <w:tcW w:w="3100" w:type="dxa"/>
            <w:tcMar>
              <w:top w:w="60" w:type="dxa"/>
              <w:left w:w="100" w:type="dxa"/>
              <w:bottom w:w="60" w:type="dxa"/>
              <w:right w:w="100" w:type="dxa"/>
            </w:tcMar>
          </w:tcPr>
          <w:p w14:paraId="4248BEDE"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EVA model: field-verified stock turnover and sales data</w:t>
            </w:r>
          </w:p>
        </w:tc>
      </w:tr>
      <w:tr w:rsidR="00D70087" w:rsidRPr="00EE2321" w14:paraId="54ED8FD4" w14:textId="77777777" w:rsidTr="00EE2321">
        <w:tblPrEx>
          <w:tblCellMar>
            <w:top w:w="0" w:type="dxa"/>
            <w:bottom w:w="0" w:type="dxa"/>
          </w:tblCellMar>
        </w:tblPrEx>
        <w:trPr>
          <w:jc w:val="center"/>
        </w:trPr>
        <w:tc>
          <w:tcPr>
            <w:tcW w:w="2200" w:type="dxa"/>
            <w:tcMar>
              <w:top w:w="60" w:type="dxa"/>
              <w:left w:w="100" w:type="dxa"/>
              <w:bottom w:w="60" w:type="dxa"/>
              <w:right w:w="100" w:type="dxa"/>
            </w:tcMar>
          </w:tcPr>
          <w:p w14:paraId="52421D67"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Pillar 2: Funding Resilience</w:t>
            </w:r>
          </w:p>
        </w:tc>
        <w:tc>
          <w:tcPr>
            <w:tcW w:w="4060" w:type="dxa"/>
            <w:tcMar>
              <w:top w:w="60" w:type="dxa"/>
              <w:left w:w="100" w:type="dxa"/>
              <w:bottom w:w="60" w:type="dxa"/>
              <w:right w:w="100" w:type="dxa"/>
            </w:tcMar>
          </w:tcPr>
          <w:p w14:paraId="4D6EE60A"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Closed, diversified local-currency debt vs. equity, VC, or foreign-parent capital</w:t>
            </w:r>
          </w:p>
        </w:tc>
        <w:tc>
          <w:tcPr>
            <w:tcW w:w="3100" w:type="dxa"/>
            <w:tcMar>
              <w:top w:w="60" w:type="dxa"/>
              <w:left w:w="100" w:type="dxa"/>
              <w:bottom w:w="60" w:type="dxa"/>
              <w:right w:w="100" w:type="dxa"/>
            </w:tcMar>
          </w:tcPr>
          <w:p w14:paraId="327BDD82"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Multi-facility local debt (Citi, I&amp;M Bank, Dry Associates, Untapped Global)</w:t>
            </w:r>
          </w:p>
        </w:tc>
      </w:tr>
      <w:tr w:rsidR="00D70087" w:rsidRPr="00EE2321" w14:paraId="082B5979" w14:textId="77777777" w:rsidTr="00EE2321">
        <w:tblPrEx>
          <w:tblCellMar>
            <w:top w:w="0" w:type="dxa"/>
            <w:bottom w:w="0" w:type="dxa"/>
          </w:tblCellMar>
        </w:tblPrEx>
        <w:trPr>
          <w:jc w:val="center"/>
        </w:trPr>
        <w:tc>
          <w:tcPr>
            <w:tcW w:w="2200" w:type="dxa"/>
            <w:tcMar>
              <w:top w:w="60" w:type="dxa"/>
              <w:left w:w="100" w:type="dxa"/>
              <w:bottom w:w="60" w:type="dxa"/>
              <w:right w:w="100" w:type="dxa"/>
            </w:tcMar>
          </w:tcPr>
          <w:p w14:paraId="38B39C6C"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Pillar 3: Regulatory Trajectory</w:t>
            </w:r>
          </w:p>
        </w:tc>
        <w:tc>
          <w:tcPr>
            <w:tcW w:w="4060" w:type="dxa"/>
            <w:tcMar>
              <w:top w:w="60" w:type="dxa"/>
              <w:left w:w="100" w:type="dxa"/>
              <w:bottom w:w="60" w:type="dxa"/>
              <w:right w:w="100" w:type="dxa"/>
            </w:tcMar>
          </w:tcPr>
          <w:p w14:paraId="5D849DFE"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Models that strengthen vs. weaken as CBK oversight intensifies</w:t>
            </w:r>
          </w:p>
        </w:tc>
        <w:tc>
          <w:tcPr>
            <w:tcW w:w="3100" w:type="dxa"/>
            <w:tcMar>
              <w:top w:w="60" w:type="dxa"/>
              <w:left w:w="100" w:type="dxa"/>
              <w:bottom w:w="60" w:type="dxa"/>
              <w:right w:w="100" w:type="dxa"/>
            </w:tcMar>
          </w:tcPr>
          <w:p w14:paraId="43AE1368" w14:textId="77777777" w:rsidR="00D70087" w:rsidRPr="00EE2321" w:rsidRDefault="00000000">
            <w:pPr>
              <w:rPr>
                <w:rFonts w:ascii="Times New Roman" w:hAnsi="Times New Roman" w:cs="Times New Roman"/>
              </w:rPr>
            </w:pPr>
            <w:r w:rsidRPr="00EE2321">
              <w:rPr>
                <w:rFonts w:ascii="Times New Roman" w:hAnsi="Times New Roman" w:cs="Times New Roman"/>
                <w:color w:val="000000"/>
              </w:rPr>
              <w:t>Structurally pre-aligned with underwriting-conduct intent; 5/5 adaptation score</w:t>
            </w:r>
          </w:p>
        </w:tc>
      </w:tr>
    </w:tbl>
    <w:p w14:paraId="02141E86" w14:textId="77777777" w:rsidR="00D70087" w:rsidRPr="005E4042" w:rsidRDefault="00000000">
      <w:pPr>
        <w:pStyle w:val="Heading2"/>
        <w:spacing w:before="160" w:after="80"/>
        <w:rPr>
          <w:rFonts w:ascii="Times New Roman" w:hAnsi="Times New Roman" w:cs="Times New Roman"/>
          <w:sz w:val="22"/>
          <w:szCs w:val="22"/>
        </w:rPr>
      </w:pPr>
      <w:r w:rsidRPr="005E4042">
        <w:rPr>
          <w:rFonts w:ascii="Times New Roman" w:hAnsi="Times New Roman" w:cs="Times New Roman"/>
          <w:b/>
          <w:bCs/>
          <w:color w:val="000000"/>
          <w:sz w:val="22"/>
          <w:szCs w:val="22"/>
        </w:rPr>
        <w:t>Pillar 1: Underwriting Grounded in Verified Business Data Outperforms Behavioral Proxies</w:t>
      </w:r>
    </w:p>
    <w:p w14:paraId="58E3AA8F" w14:textId="3EB2E787" w:rsidR="00D70087" w:rsidRPr="005E4042" w:rsidRDefault="00000000">
      <w:pPr>
        <w:spacing w:after="120"/>
        <w:jc w:val="both"/>
        <w:rPr>
          <w:rFonts w:ascii="Times New Roman" w:hAnsi="Times New Roman" w:cs="Times New Roman"/>
          <w:sz w:val="22"/>
          <w:szCs w:val="22"/>
        </w:rPr>
      </w:pPr>
      <w:r w:rsidRPr="005E4042">
        <w:rPr>
          <w:rFonts w:ascii="Times New Roman" w:hAnsi="Times New Roman" w:cs="Times New Roman"/>
          <w:color w:val="000000"/>
          <w:sz w:val="22"/>
          <w:szCs w:val="22"/>
        </w:rPr>
        <w:t xml:space="preserve">4G Capital’s “Touch-tech” model combines a digital lending platform with in-person field-officer verification. Its Enterprise Viability Assessment (EVA) underwriting is based on observable business data </w:t>
      </w:r>
      <w:r w:rsidR="005E4042">
        <w:rPr>
          <w:rFonts w:ascii="Times New Roman" w:hAnsi="Times New Roman" w:cs="Times New Roman"/>
          <w:color w:val="000000"/>
          <w:sz w:val="22"/>
          <w:szCs w:val="22"/>
        </w:rPr>
        <w:t>(</w:t>
      </w:r>
      <w:r w:rsidRPr="005E4042">
        <w:rPr>
          <w:rFonts w:ascii="Times New Roman" w:hAnsi="Times New Roman" w:cs="Times New Roman"/>
          <w:color w:val="000000"/>
          <w:sz w:val="22"/>
          <w:szCs w:val="22"/>
        </w:rPr>
        <w:t>stock turnover and daily sales, captured by field officers</w:t>
      </w:r>
      <w:r w:rsidR="005E4042">
        <w:rPr>
          <w:rFonts w:ascii="Times New Roman" w:hAnsi="Times New Roman" w:cs="Times New Roman"/>
          <w:color w:val="000000"/>
          <w:sz w:val="22"/>
          <w:szCs w:val="22"/>
        </w:rPr>
        <w:t xml:space="preserve">) </w:t>
      </w:r>
      <w:r w:rsidRPr="005E4042">
        <w:rPr>
          <w:rFonts w:ascii="Times New Roman" w:hAnsi="Times New Roman" w:cs="Times New Roman"/>
          <w:color w:val="000000"/>
          <w:sz w:val="22"/>
          <w:szCs w:val="22"/>
        </w:rPr>
        <w:t>rather than behavioral phone-usage proxies, aligning structurally with the intent of CBK’s underwriting-conduct regulations rather than merely complying with their letter.</w:t>
      </w:r>
      <w:r w:rsidRPr="005E4042">
        <w:rPr>
          <w:rStyle w:val="FootnoteReference"/>
          <w:rFonts w:ascii="Times New Roman" w:hAnsi="Times New Roman" w:cs="Times New Roman"/>
          <w:sz w:val="22"/>
          <w:szCs w:val="22"/>
        </w:rPr>
        <w:footnoteReference w:id="15"/>
      </w:r>
      <w:r w:rsidRPr="005E4042">
        <w:rPr>
          <w:rFonts w:ascii="Times New Roman" w:hAnsi="Times New Roman" w:cs="Times New Roman"/>
          <w:color w:val="000000"/>
          <w:sz w:val="22"/>
          <w:szCs w:val="22"/>
        </w:rPr>
        <w:t xml:space="preserve"> Pezesha shares this structural logic: its embedded-marketplace model uses partner transaction data, and its core book carries a 4% default rate.</w:t>
      </w:r>
      <w:r w:rsidRPr="005E4042">
        <w:rPr>
          <w:rStyle w:val="FootnoteReference"/>
          <w:rFonts w:ascii="Times New Roman" w:hAnsi="Times New Roman" w:cs="Times New Roman"/>
          <w:sz w:val="22"/>
          <w:szCs w:val="22"/>
        </w:rPr>
        <w:footnoteReference w:id="16"/>
      </w:r>
      <w:r w:rsidRPr="005E4042">
        <w:rPr>
          <w:rFonts w:ascii="Times New Roman" w:hAnsi="Times New Roman" w:cs="Times New Roman"/>
          <w:color w:val="000000"/>
          <w:sz w:val="22"/>
          <w:szCs w:val="22"/>
        </w:rPr>
        <w:t xml:space="preserve"> Tala and Zenka, by contrast, rely more heavily on behavioral and phone-data signals, and both carry materially weaker outcomes</w:t>
      </w:r>
      <w:r w:rsidR="005E4042">
        <w:rPr>
          <w:rFonts w:ascii="Times New Roman" w:hAnsi="Times New Roman" w:cs="Times New Roman"/>
          <w:color w:val="000000"/>
          <w:sz w:val="22"/>
          <w:szCs w:val="22"/>
        </w:rPr>
        <w:t xml:space="preserve">. </w:t>
      </w:r>
      <w:r w:rsidRPr="005E4042">
        <w:rPr>
          <w:rFonts w:ascii="Times New Roman" w:hAnsi="Times New Roman" w:cs="Times New Roman"/>
          <w:color w:val="000000"/>
          <w:sz w:val="22"/>
          <w:szCs w:val="22"/>
        </w:rPr>
        <w:t>Tala’s loan book skews toward consumer and subsistence use despite an MSME-inclusion narrative,</w:t>
      </w:r>
      <w:r w:rsidRPr="005E4042">
        <w:rPr>
          <w:rStyle w:val="FootnoteReference"/>
          <w:rFonts w:ascii="Times New Roman" w:hAnsi="Times New Roman" w:cs="Times New Roman"/>
          <w:sz w:val="22"/>
          <w:szCs w:val="22"/>
        </w:rPr>
        <w:footnoteReference w:id="17"/>
      </w:r>
      <w:r w:rsidRPr="005E4042">
        <w:rPr>
          <w:rFonts w:ascii="Times New Roman" w:hAnsi="Times New Roman" w:cs="Times New Roman"/>
          <w:color w:val="000000"/>
          <w:sz w:val="22"/>
          <w:szCs w:val="22"/>
        </w:rPr>
        <w:t xml:space="preserve"> and Zenka’s underwriting scans borrowers’ M-Pesa SMS data, the exact practice CBK’s conduct regulations target.</w:t>
      </w:r>
      <w:r w:rsidRPr="005E4042">
        <w:rPr>
          <w:rStyle w:val="FootnoteReference"/>
          <w:rFonts w:ascii="Times New Roman" w:hAnsi="Times New Roman" w:cs="Times New Roman"/>
          <w:sz w:val="22"/>
          <w:szCs w:val="22"/>
        </w:rPr>
        <w:footnoteReference w:id="18"/>
      </w:r>
    </w:p>
    <w:p w14:paraId="31130C6A" w14:textId="77777777" w:rsidR="00D70087" w:rsidRPr="005E4042" w:rsidRDefault="00000000">
      <w:pPr>
        <w:pStyle w:val="Heading2"/>
        <w:spacing w:before="160" w:after="80"/>
        <w:rPr>
          <w:rFonts w:ascii="Times New Roman" w:hAnsi="Times New Roman" w:cs="Times New Roman"/>
          <w:sz w:val="22"/>
          <w:szCs w:val="22"/>
        </w:rPr>
      </w:pPr>
      <w:r w:rsidRPr="005E4042">
        <w:rPr>
          <w:rFonts w:ascii="Times New Roman" w:hAnsi="Times New Roman" w:cs="Times New Roman"/>
          <w:b/>
          <w:bCs/>
          <w:color w:val="000000"/>
          <w:sz w:val="22"/>
          <w:szCs w:val="22"/>
        </w:rPr>
        <w:t>Pillar 2: Closed, Diversified Local Debt Outperforms Equity- and VC-Dependent Funding</w:t>
      </w:r>
    </w:p>
    <w:p w14:paraId="42D00E88" w14:textId="384F40A8" w:rsidR="00D70087" w:rsidRPr="003A5447" w:rsidRDefault="00000000">
      <w:pPr>
        <w:spacing w:after="120"/>
        <w:jc w:val="both"/>
        <w:rPr>
          <w:rFonts w:ascii="Times New Roman" w:hAnsi="Times New Roman" w:cs="Times New Roman"/>
        </w:rPr>
      </w:pPr>
      <w:r w:rsidRPr="005E4042">
        <w:rPr>
          <w:rFonts w:ascii="Times New Roman" w:hAnsi="Times New Roman" w:cs="Times New Roman"/>
          <w:color w:val="000000"/>
          <w:sz w:val="22"/>
          <w:szCs w:val="22"/>
        </w:rPr>
        <w:t xml:space="preserve">4G Capital’s funding is local-currency debt diversified across multiple closed facilities: a $3 million revolving facility with Citi Bank (US government-guaranteed), a KSh 500 million one-year facility with I&amp;M Bank, a KSh 500 million corporate debt programme via Dry Associates Investment Bank, and a debt deal with Untapped Global </w:t>
      </w:r>
      <w:r w:rsidRPr="005E4042">
        <w:rPr>
          <w:rFonts w:ascii="Times New Roman" w:hAnsi="Times New Roman" w:cs="Times New Roman"/>
          <w:color w:val="000000"/>
          <w:sz w:val="22"/>
          <w:szCs w:val="22"/>
        </w:rPr>
        <w:lastRenderedPageBreak/>
        <w:t>closed in three months using API-based real-time monitoring.</w:t>
      </w:r>
      <w:r w:rsidRPr="005E4042">
        <w:rPr>
          <w:rStyle w:val="FootnoteReference"/>
          <w:rFonts w:ascii="Times New Roman" w:hAnsi="Times New Roman" w:cs="Times New Roman"/>
          <w:sz w:val="22"/>
          <w:szCs w:val="22"/>
        </w:rPr>
        <w:footnoteReference w:id="19"/>
      </w:r>
      <w:r w:rsidRPr="005E4042">
        <w:rPr>
          <w:rFonts w:ascii="Times New Roman" w:hAnsi="Times New Roman" w:cs="Times New Roman"/>
          <w:color w:val="000000"/>
          <w:sz w:val="22"/>
          <w:szCs w:val="22"/>
        </w:rPr>
        <w:t xml:space="preserve"> This eliminates the foreign-exchange risk and investor-return pressure that affects VC-funded peers such as Tala ($145 million+ raised in VC equity)</w:t>
      </w:r>
      <w:r w:rsidRPr="005E4042">
        <w:rPr>
          <w:rStyle w:val="FootnoteReference"/>
          <w:rFonts w:ascii="Times New Roman" w:hAnsi="Times New Roman" w:cs="Times New Roman"/>
          <w:sz w:val="22"/>
          <w:szCs w:val="22"/>
        </w:rPr>
        <w:footnoteReference w:id="20"/>
      </w:r>
      <w:r w:rsidRPr="005E4042">
        <w:rPr>
          <w:rFonts w:ascii="Times New Roman" w:hAnsi="Times New Roman" w:cs="Times New Roman"/>
          <w:color w:val="000000"/>
          <w:sz w:val="22"/>
          <w:szCs w:val="22"/>
        </w:rPr>
        <w:t xml:space="preserve"> and foreign-parent-owned Zenka.</w:t>
      </w:r>
      <w:r w:rsidRPr="005E4042">
        <w:rPr>
          <w:rStyle w:val="FootnoteReference"/>
          <w:rFonts w:ascii="Times New Roman" w:hAnsi="Times New Roman" w:cs="Times New Roman"/>
          <w:sz w:val="22"/>
          <w:szCs w:val="22"/>
        </w:rPr>
        <w:footnoteReference w:id="21"/>
      </w:r>
      <w:r w:rsidRPr="005E4042">
        <w:rPr>
          <w:rFonts w:ascii="Times New Roman" w:hAnsi="Times New Roman" w:cs="Times New Roman"/>
          <w:color w:val="000000"/>
          <w:sz w:val="22"/>
          <w:szCs w:val="22"/>
        </w:rPr>
        <w:t xml:space="preserve"> Pezesha’s funding, by contrast, remains equity plus a $500,000 DFC technical-assistance grant</w:t>
      </w:r>
      <w:r w:rsidR="005E4042">
        <w:rPr>
          <w:rFonts w:ascii="Times New Roman" w:hAnsi="Times New Roman" w:cs="Times New Roman"/>
          <w:color w:val="000000"/>
          <w:sz w:val="22"/>
          <w:szCs w:val="22"/>
        </w:rPr>
        <w:t>, e</w:t>
      </w:r>
      <w:r w:rsidRPr="005E4042">
        <w:rPr>
          <w:rFonts w:ascii="Times New Roman" w:hAnsi="Times New Roman" w:cs="Times New Roman"/>
          <w:color w:val="000000"/>
          <w:sz w:val="22"/>
          <w:szCs w:val="22"/>
        </w:rPr>
        <w:t>xplicitly positioned as groundwork for a possible future DFC debt investment</w:t>
      </w:r>
      <w:r w:rsidR="005E4042">
        <w:rPr>
          <w:rFonts w:ascii="Times New Roman" w:hAnsi="Times New Roman" w:cs="Times New Roman"/>
          <w:color w:val="000000"/>
          <w:sz w:val="22"/>
          <w:szCs w:val="22"/>
        </w:rPr>
        <w:t xml:space="preserve">, </w:t>
      </w:r>
      <w:r w:rsidRPr="005E4042">
        <w:rPr>
          <w:rFonts w:ascii="Times New Roman" w:hAnsi="Times New Roman" w:cs="Times New Roman"/>
          <w:color w:val="000000"/>
          <w:sz w:val="22"/>
          <w:szCs w:val="22"/>
        </w:rPr>
        <w:t>not yet a closed debt facility, and meaningfully less mature than 4G Capital’s lender relationships.</w:t>
      </w:r>
      <w:r w:rsidRPr="005E4042">
        <w:rPr>
          <w:rStyle w:val="FootnoteReference"/>
          <w:rFonts w:ascii="Times New Roman" w:hAnsi="Times New Roman" w:cs="Times New Roman"/>
          <w:sz w:val="22"/>
          <w:szCs w:val="22"/>
        </w:rPr>
        <w:footnoteReference w:id="22"/>
      </w:r>
    </w:p>
    <w:p w14:paraId="42CA50F2" w14:textId="77777777" w:rsidR="00D70087" w:rsidRPr="005E4042" w:rsidRDefault="00000000">
      <w:pPr>
        <w:pStyle w:val="Heading2"/>
        <w:spacing w:before="160" w:after="80"/>
        <w:rPr>
          <w:rFonts w:ascii="Times New Roman" w:hAnsi="Times New Roman" w:cs="Times New Roman"/>
          <w:sz w:val="22"/>
          <w:szCs w:val="22"/>
        </w:rPr>
      </w:pPr>
      <w:r w:rsidRPr="005E4042">
        <w:rPr>
          <w:rFonts w:ascii="Times New Roman" w:hAnsi="Times New Roman" w:cs="Times New Roman"/>
          <w:b/>
          <w:bCs/>
          <w:color w:val="000000"/>
          <w:sz w:val="22"/>
          <w:szCs w:val="22"/>
        </w:rPr>
        <w:t>Pillar 3: A Model That Strengthens, Not Weakens, as Oversight Intensifies</w:t>
      </w:r>
    </w:p>
    <w:p w14:paraId="66903013" w14:textId="512B257F" w:rsidR="00D70087" w:rsidRPr="005E4042" w:rsidRDefault="00000000">
      <w:pPr>
        <w:spacing w:after="120"/>
        <w:jc w:val="both"/>
        <w:rPr>
          <w:rFonts w:ascii="Times New Roman" w:hAnsi="Times New Roman" w:cs="Times New Roman"/>
          <w:sz w:val="22"/>
          <w:szCs w:val="22"/>
        </w:rPr>
      </w:pPr>
      <w:r w:rsidRPr="005E4042">
        <w:rPr>
          <w:rFonts w:ascii="Times New Roman" w:hAnsi="Times New Roman" w:cs="Times New Roman"/>
          <w:color w:val="000000"/>
          <w:sz w:val="22"/>
          <w:szCs w:val="22"/>
        </w:rPr>
        <w:t>4G Capital’s regulatory-adaptation score (5/5) reflects underwriting that was structurally aligned with CBK’s conduct intent before that intent was codified into regulation, rather than a reactive compliance exercise.</w:t>
      </w:r>
      <w:r w:rsidRPr="005E4042">
        <w:rPr>
          <w:rStyle w:val="FootnoteReference"/>
          <w:rFonts w:ascii="Times New Roman" w:hAnsi="Times New Roman" w:cs="Times New Roman"/>
          <w:sz w:val="22"/>
          <w:szCs w:val="22"/>
        </w:rPr>
        <w:footnoteReference w:id="23"/>
      </w:r>
      <w:r w:rsidRPr="005E4042">
        <w:rPr>
          <w:rFonts w:ascii="Times New Roman" w:hAnsi="Times New Roman" w:cs="Times New Roman"/>
          <w:color w:val="000000"/>
          <w:sz w:val="22"/>
          <w:szCs w:val="22"/>
        </w:rPr>
        <w:t xml:space="preserve"> This stands in direct contrast to Zenka, licensed only in March 2023 (the latest of any player here) after a CBK-forced write-off of KSh 166 million in past-due interest, confirmed November 23, 2022</w:t>
      </w:r>
      <w:r w:rsidR="007F7735">
        <w:rPr>
          <w:rFonts w:ascii="Times New Roman" w:hAnsi="Times New Roman" w:cs="Times New Roman"/>
          <w:color w:val="000000"/>
          <w:sz w:val="22"/>
          <w:szCs w:val="22"/>
        </w:rPr>
        <w:t>,</w:t>
      </w:r>
      <w:r w:rsidRPr="005E4042">
        <w:rPr>
          <w:rFonts w:ascii="Times New Roman" w:hAnsi="Times New Roman" w:cs="Times New Roman"/>
          <w:color w:val="000000"/>
          <w:sz w:val="22"/>
          <w:szCs w:val="22"/>
        </w:rPr>
        <w:t xml:space="preserve"> and which then claimed “no significant changes” to its risk profile just 13 months later.</w:t>
      </w:r>
      <w:r w:rsidRPr="005E4042">
        <w:rPr>
          <w:rStyle w:val="FootnoteReference"/>
          <w:rFonts w:ascii="Times New Roman" w:hAnsi="Times New Roman" w:cs="Times New Roman"/>
          <w:sz w:val="22"/>
          <w:szCs w:val="22"/>
        </w:rPr>
        <w:footnoteReference w:id="24"/>
      </w:r>
      <w:r w:rsidRPr="005E4042">
        <w:rPr>
          <w:rFonts w:ascii="Times New Roman" w:hAnsi="Times New Roman" w:cs="Times New Roman"/>
          <w:color w:val="000000"/>
          <w:sz w:val="22"/>
          <w:szCs w:val="22"/>
        </w:rPr>
        <w:t xml:space="preserve"> Pezesha’s current strength is also instructive here</w:t>
      </w:r>
      <w:r w:rsidR="007F7735">
        <w:rPr>
          <w:rFonts w:ascii="Times New Roman" w:hAnsi="Times New Roman" w:cs="Times New Roman"/>
          <w:color w:val="000000"/>
          <w:sz w:val="22"/>
          <w:szCs w:val="22"/>
        </w:rPr>
        <w:t>.</w:t>
      </w:r>
      <w:r w:rsidRPr="005E4042">
        <w:rPr>
          <w:rFonts w:ascii="Times New Roman" w:hAnsi="Times New Roman" w:cs="Times New Roman"/>
          <w:color w:val="000000"/>
          <w:sz w:val="22"/>
          <w:szCs w:val="22"/>
        </w:rPr>
        <w:t xml:space="preserve"> </w:t>
      </w:r>
      <w:r w:rsidR="007F7735">
        <w:rPr>
          <w:rFonts w:ascii="Times New Roman" w:hAnsi="Times New Roman" w:cs="Times New Roman"/>
          <w:color w:val="000000"/>
          <w:sz w:val="22"/>
          <w:szCs w:val="22"/>
        </w:rPr>
        <w:t>I</w:t>
      </w:r>
      <w:r w:rsidRPr="005E4042">
        <w:rPr>
          <w:rFonts w:ascii="Times New Roman" w:hAnsi="Times New Roman" w:cs="Times New Roman"/>
          <w:color w:val="000000"/>
          <w:sz w:val="22"/>
          <w:szCs w:val="22"/>
        </w:rPr>
        <w:t>ts default rate surged to 22% in mid-2022, coinciding closely with the DCP framework’s rollout, before falling to 4% by 2024</w:t>
      </w:r>
      <w:r w:rsidRPr="005E4042">
        <w:rPr>
          <w:rStyle w:val="FootnoteReference"/>
          <w:rFonts w:ascii="Times New Roman" w:hAnsi="Times New Roman" w:cs="Times New Roman"/>
          <w:sz w:val="22"/>
          <w:szCs w:val="22"/>
        </w:rPr>
        <w:footnoteReference w:id="25"/>
      </w:r>
      <w:r w:rsidR="007F7735">
        <w:rPr>
          <w:rFonts w:ascii="Times New Roman" w:hAnsi="Times New Roman" w:cs="Times New Roman"/>
          <w:color w:val="000000"/>
          <w:sz w:val="22"/>
          <w:szCs w:val="22"/>
        </w:rPr>
        <w:t>,</w:t>
      </w:r>
      <w:r w:rsidRPr="005E4042">
        <w:rPr>
          <w:rFonts w:ascii="Times New Roman" w:hAnsi="Times New Roman" w:cs="Times New Roman"/>
          <w:color w:val="000000"/>
          <w:sz w:val="22"/>
          <w:szCs w:val="22"/>
        </w:rPr>
        <w:t xml:space="preserve"> evidence that Pezesha’s current advantage was partly a forced response to regulatory pressure, not a pre-existing structural gift, and therefore less proven across a full cycle than 4G Capital’s built-in alignment.</w:t>
      </w:r>
    </w:p>
    <w:p w14:paraId="449132C7" w14:textId="77777777" w:rsidR="00D70087" w:rsidRPr="003A5447" w:rsidRDefault="00000000" w:rsidP="003A5447">
      <w:pPr>
        <w:pStyle w:val="Heading1"/>
        <w:pBdr>
          <w:bottom w:val="single" w:sz="4" w:space="2" w:color="auto"/>
        </w:pBdr>
        <w:spacing w:before="220" w:after="120"/>
        <w:rPr>
          <w:rFonts w:ascii="Times New Roman" w:hAnsi="Times New Roman" w:cs="Times New Roman"/>
          <w:color w:val="BF4E14" w:themeColor="accent2" w:themeShade="BF"/>
        </w:rPr>
      </w:pPr>
      <w:r w:rsidRPr="003A5447">
        <w:rPr>
          <w:rFonts w:ascii="Times New Roman" w:hAnsi="Times New Roman" w:cs="Times New Roman"/>
          <w:b/>
          <w:bCs/>
          <w:color w:val="BF4E14" w:themeColor="accent2" w:themeShade="BF"/>
          <w:sz w:val="25"/>
          <w:szCs w:val="25"/>
        </w:rPr>
        <w:t>3. Field-Officer Dependency Is the Primary Risk to Scaling This Recommendation</w:t>
      </w:r>
    </w:p>
    <w:p w14:paraId="1155C906" w14:textId="2DB8284E" w:rsidR="00D70087" w:rsidRPr="007F7735" w:rsidRDefault="00000000">
      <w:pPr>
        <w:spacing w:after="120"/>
        <w:jc w:val="both"/>
        <w:rPr>
          <w:rFonts w:ascii="Times New Roman" w:hAnsi="Times New Roman" w:cs="Times New Roman"/>
          <w:sz w:val="22"/>
          <w:szCs w:val="22"/>
        </w:rPr>
      </w:pPr>
      <w:r w:rsidRPr="007F7735">
        <w:rPr>
          <w:rFonts w:ascii="Times New Roman" w:hAnsi="Times New Roman" w:cs="Times New Roman"/>
          <w:color w:val="000000"/>
          <w:sz w:val="22"/>
          <w:szCs w:val="22"/>
        </w:rPr>
        <w:t>The most significant risk to this recommendation is operational scalability. 4G Capital’s Enterprise Viability Assessment underwriting model relies on field officers assessing real business data in person</w:t>
      </w:r>
      <w:r w:rsidR="007F7735">
        <w:rPr>
          <w:rFonts w:ascii="Times New Roman" w:hAnsi="Times New Roman" w:cs="Times New Roman"/>
          <w:color w:val="000000"/>
          <w:sz w:val="22"/>
          <w:szCs w:val="22"/>
        </w:rPr>
        <w:t xml:space="preserve">, </w:t>
      </w:r>
      <w:r w:rsidRPr="007F7735">
        <w:rPr>
          <w:rFonts w:ascii="Times New Roman" w:hAnsi="Times New Roman" w:cs="Times New Roman"/>
          <w:color w:val="000000"/>
          <w:sz w:val="22"/>
          <w:szCs w:val="22"/>
        </w:rPr>
        <w:t>a structurally sound but labor-intensive approach that may scale less efficiently than purely digital, phone-data-driven underwriting models such as Tala’s. If 4G Capital’s growth requires proportional growth in field staff, unit economics could compress as it expands into more competitive or lower-density markets.</w:t>
      </w:r>
    </w:p>
    <w:p w14:paraId="230D9EA8" w14:textId="72150967" w:rsidR="00D70087" w:rsidRPr="00FD63B3" w:rsidRDefault="00000000" w:rsidP="00FD63B3">
      <w:pPr>
        <w:pStyle w:val="ListParagraph"/>
        <w:numPr>
          <w:ilvl w:val="0"/>
          <w:numId w:val="6"/>
        </w:numPr>
        <w:spacing w:after="60"/>
        <w:rPr>
          <w:rFonts w:ascii="Times New Roman" w:hAnsi="Times New Roman" w:cs="Times New Roman"/>
          <w:sz w:val="22"/>
          <w:szCs w:val="22"/>
        </w:rPr>
      </w:pPr>
      <w:r w:rsidRPr="00FD63B3">
        <w:rPr>
          <w:rFonts w:ascii="Times New Roman" w:hAnsi="Times New Roman" w:cs="Times New Roman"/>
          <w:color w:val="000000"/>
          <w:sz w:val="22"/>
          <w:szCs w:val="22"/>
        </w:rPr>
        <w:t>Mitigation: Track field-officer-to-loan-volume ratios as 4G Capital scales into new regions</w:t>
      </w:r>
      <w:r w:rsidR="007F7735" w:rsidRPr="00FD63B3">
        <w:rPr>
          <w:rFonts w:ascii="Times New Roman" w:hAnsi="Times New Roman" w:cs="Times New Roman"/>
          <w:color w:val="000000"/>
          <w:sz w:val="22"/>
          <w:szCs w:val="22"/>
        </w:rPr>
        <w:t>;</w:t>
      </w:r>
      <w:r w:rsidRPr="00FD63B3">
        <w:rPr>
          <w:rFonts w:ascii="Times New Roman" w:hAnsi="Times New Roman" w:cs="Times New Roman"/>
          <w:color w:val="000000"/>
          <w:sz w:val="22"/>
          <w:szCs w:val="22"/>
        </w:rPr>
        <w:t xml:space="preserve"> a rising ratio would signal the model is not scaling efficiently and would warrant revisiting the thesis.</w:t>
      </w:r>
    </w:p>
    <w:p w14:paraId="5C8C64B4" w14:textId="77777777" w:rsidR="00D70087" w:rsidRPr="00FD63B3" w:rsidRDefault="00000000" w:rsidP="00FD63B3">
      <w:pPr>
        <w:pStyle w:val="ListParagraph"/>
        <w:numPr>
          <w:ilvl w:val="0"/>
          <w:numId w:val="6"/>
        </w:numPr>
        <w:spacing w:after="60"/>
        <w:rPr>
          <w:rFonts w:ascii="Times New Roman" w:hAnsi="Times New Roman" w:cs="Times New Roman"/>
          <w:color w:val="BF4E14" w:themeColor="accent2" w:themeShade="BF"/>
          <w:sz w:val="22"/>
          <w:szCs w:val="22"/>
        </w:rPr>
      </w:pPr>
      <w:r w:rsidRPr="00FD63B3">
        <w:rPr>
          <w:rFonts w:ascii="Times New Roman" w:hAnsi="Times New Roman" w:cs="Times New Roman"/>
          <w:color w:val="000000"/>
          <w:sz w:val="22"/>
          <w:szCs w:val="22"/>
        </w:rPr>
        <w:t xml:space="preserve">Secondary risk: Pezesha’s funding immaturity could resolve quickly. A closed debt facility comparable to 4G Capital’s would narrow the gap between the two and could justify reallocating a portion of capital toward </w:t>
      </w:r>
      <w:r w:rsidRPr="00FD63B3">
        <w:rPr>
          <w:rFonts w:ascii="Times New Roman" w:hAnsi="Times New Roman" w:cs="Times New Roman"/>
          <w:sz w:val="22"/>
          <w:szCs w:val="22"/>
        </w:rPr>
        <w:t>Pezesha at that point.</w:t>
      </w:r>
    </w:p>
    <w:p w14:paraId="110026C9" w14:textId="77777777" w:rsidR="00D70087" w:rsidRPr="003A5447" w:rsidRDefault="00000000" w:rsidP="003A5447">
      <w:pPr>
        <w:pStyle w:val="Heading1"/>
        <w:pBdr>
          <w:bottom w:val="single" w:sz="4" w:space="2" w:color="auto"/>
        </w:pBdr>
        <w:spacing w:before="220" w:after="120"/>
        <w:rPr>
          <w:rFonts w:ascii="Times New Roman" w:hAnsi="Times New Roman" w:cs="Times New Roman"/>
          <w:color w:val="BF4E14" w:themeColor="accent2" w:themeShade="BF"/>
        </w:rPr>
      </w:pPr>
      <w:r w:rsidRPr="003A5447">
        <w:rPr>
          <w:rFonts w:ascii="Times New Roman" w:hAnsi="Times New Roman" w:cs="Times New Roman"/>
          <w:b/>
          <w:bCs/>
          <w:color w:val="BF4E14" w:themeColor="accent2" w:themeShade="BF"/>
          <w:sz w:val="25"/>
          <w:szCs w:val="25"/>
        </w:rPr>
        <w:t>4. 2025 Developments Confirm Rather Than Contradict the December 2023 Thesis</w:t>
      </w:r>
    </w:p>
    <w:p w14:paraId="4DDC94E2" w14:textId="2F56BC43" w:rsidR="00D70087" w:rsidRPr="007F7735" w:rsidRDefault="00000000">
      <w:pPr>
        <w:spacing w:after="120"/>
        <w:jc w:val="both"/>
        <w:rPr>
          <w:rFonts w:ascii="Times New Roman" w:hAnsi="Times New Roman" w:cs="Times New Roman"/>
          <w:sz w:val="22"/>
          <w:szCs w:val="22"/>
        </w:rPr>
      </w:pPr>
      <w:r w:rsidRPr="007F7735">
        <w:rPr>
          <w:rFonts w:ascii="Times New Roman" w:hAnsi="Times New Roman" w:cs="Times New Roman"/>
          <w:color w:val="000000"/>
          <w:sz w:val="22"/>
          <w:szCs w:val="22"/>
        </w:rPr>
        <w:t>Developments noted here are a dated coda, kept separate from the December 2023 anchor to preserve analytical integrity. Tala reported a repayment rate above 95% by 2025 and laid off 28 staff in early 2025, citing reduced defaults and customer queries</w:t>
      </w:r>
      <w:r w:rsidRPr="007F7735">
        <w:rPr>
          <w:rStyle w:val="FootnoteReference"/>
          <w:rFonts w:ascii="Times New Roman" w:hAnsi="Times New Roman" w:cs="Times New Roman"/>
          <w:sz w:val="22"/>
          <w:szCs w:val="22"/>
        </w:rPr>
        <w:footnoteReference w:id="26"/>
      </w:r>
      <w:r w:rsidR="007F7735">
        <w:rPr>
          <w:rFonts w:ascii="Times New Roman" w:hAnsi="Times New Roman" w:cs="Times New Roman"/>
          <w:color w:val="000000"/>
          <w:sz w:val="22"/>
          <w:szCs w:val="22"/>
        </w:rPr>
        <w:t>,</w:t>
      </w:r>
      <w:r w:rsidRPr="007F7735">
        <w:rPr>
          <w:rFonts w:ascii="Times New Roman" w:hAnsi="Times New Roman" w:cs="Times New Roman"/>
          <w:color w:val="000000"/>
          <w:sz w:val="22"/>
          <w:szCs w:val="22"/>
        </w:rPr>
        <w:t xml:space="preserve"> </w:t>
      </w:r>
      <w:r w:rsidR="007F7735">
        <w:rPr>
          <w:rFonts w:ascii="Times New Roman" w:hAnsi="Times New Roman" w:cs="Times New Roman"/>
          <w:color w:val="000000"/>
          <w:sz w:val="22"/>
          <w:szCs w:val="22"/>
        </w:rPr>
        <w:t xml:space="preserve">an </w:t>
      </w:r>
      <w:r w:rsidRPr="007F7735">
        <w:rPr>
          <w:rFonts w:ascii="Times New Roman" w:hAnsi="Times New Roman" w:cs="Times New Roman"/>
          <w:color w:val="000000"/>
          <w:sz w:val="22"/>
          <w:szCs w:val="22"/>
        </w:rPr>
        <w:t>ambiguous signal that could reflect real underwriting improvement</w:t>
      </w:r>
      <w:r w:rsidR="007F7735">
        <w:rPr>
          <w:rFonts w:ascii="Times New Roman" w:hAnsi="Times New Roman" w:cs="Times New Roman"/>
          <w:color w:val="000000"/>
          <w:sz w:val="22"/>
          <w:szCs w:val="22"/>
        </w:rPr>
        <w:t xml:space="preserve"> </w:t>
      </w:r>
      <w:r w:rsidRPr="007F7735">
        <w:rPr>
          <w:rFonts w:ascii="Times New Roman" w:hAnsi="Times New Roman" w:cs="Times New Roman"/>
          <w:color w:val="000000"/>
          <w:sz w:val="22"/>
          <w:szCs w:val="22"/>
        </w:rPr>
        <w:t>or a contraction toward a smaller, more creditworthy customer base after rate-sensitive borrowers were priced out by APR disclosure. Public data cannot distinguish between these explanations, and this memo does not pick the more flattering interpretation. Pezesha’s 2024 experimental expansion into thinner-file borrower segments produced a portfolio-at-risk (PAR 30+) of 39–42%, roughly ten times its core book’s rate</w:t>
      </w:r>
      <w:r w:rsidRPr="007F7735">
        <w:rPr>
          <w:rStyle w:val="FootnoteReference"/>
          <w:rFonts w:ascii="Times New Roman" w:hAnsi="Times New Roman" w:cs="Times New Roman"/>
          <w:sz w:val="22"/>
          <w:szCs w:val="22"/>
        </w:rPr>
        <w:footnoteReference w:id="27"/>
      </w:r>
      <w:r w:rsidR="007F7735">
        <w:rPr>
          <w:rFonts w:ascii="Times New Roman" w:hAnsi="Times New Roman" w:cs="Times New Roman"/>
          <w:color w:val="000000"/>
          <w:sz w:val="22"/>
          <w:szCs w:val="22"/>
        </w:rPr>
        <w:t xml:space="preserve">, </w:t>
      </w:r>
      <w:r w:rsidRPr="007F7735">
        <w:rPr>
          <w:rFonts w:ascii="Times New Roman" w:hAnsi="Times New Roman" w:cs="Times New Roman"/>
          <w:color w:val="000000"/>
          <w:sz w:val="22"/>
          <w:szCs w:val="22"/>
        </w:rPr>
        <w:t xml:space="preserve">confirming that its strength lies in borrower selection within its core model, not underwriting resilience generally. Lipa Later entered administration </w:t>
      </w:r>
      <w:r w:rsidRPr="007F7735">
        <w:rPr>
          <w:rFonts w:ascii="Times New Roman" w:hAnsi="Times New Roman" w:cs="Times New Roman"/>
          <w:color w:val="000000"/>
          <w:sz w:val="22"/>
          <w:szCs w:val="22"/>
        </w:rPr>
        <w:lastRenderedPageBreak/>
        <w:t>in 2025, validating this analysis’s original concern about VC-funded, consumer-facing models operating under DCP compliance pressure. Kenya’s banking-sector NPL ratio reached a 20-year high of 17.6% by April 2025, up from 15.6% in December 2023</w:t>
      </w:r>
      <w:r w:rsidRPr="007F7735">
        <w:rPr>
          <w:rStyle w:val="FootnoteReference"/>
          <w:rFonts w:ascii="Times New Roman" w:hAnsi="Times New Roman" w:cs="Times New Roman"/>
          <w:sz w:val="22"/>
          <w:szCs w:val="22"/>
        </w:rPr>
        <w:footnoteReference w:id="28"/>
      </w:r>
      <w:r w:rsidR="007F7735">
        <w:rPr>
          <w:rFonts w:ascii="Times New Roman" w:hAnsi="Times New Roman" w:cs="Times New Roman"/>
          <w:color w:val="000000"/>
          <w:sz w:val="22"/>
          <w:szCs w:val="22"/>
        </w:rPr>
        <w:t xml:space="preserve">, </w:t>
      </w:r>
      <w:r w:rsidRPr="007F7735">
        <w:rPr>
          <w:rFonts w:ascii="Times New Roman" w:hAnsi="Times New Roman" w:cs="Times New Roman"/>
          <w:color w:val="000000"/>
          <w:sz w:val="22"/>
          <w:szCs w:val="22"/>
        </w:rPr>
        <w:t xml:space="preserve"> widening the gap between disciplined digital lenders such as 4G Capital and Pezesha’s core book (both near 4–5%) and the conventional credit market.</w:t>
      </w:r>
    </w:p>
    <w:p w14:paraId="22486DDB" w14:textId="027C3156" w:rsidR="00D70087" w:rsidRPr="007F7735" w:rsidRDefault="00000000">
      <w:pPr>
        <w:spacing w:after="120"/>
        <w:jc w:val="both"/>
        <w:rPr>
          <w:rFonts w:ascii="Times New Roman" w:hAnsi="Times New Roman" w:cs="Times New Roman"/>
          <w:sz w:val="22"/>
          <w:szCs w:val="22"/>
        </w:rPr>
      </w:pPr>
      <w:r w:rsidRPr="007F7735">
        <w:rPr>
          <w:rFonts w:ascii="Times New Roman" w:hAnsi="Times New Roman" w:cs="Times New Roman"/>
          <w:color w:val="000000"/>
          <w:sz w:val="22"/>
          <w:szCs w:val="22"/>
        </w:rPr>
        <w:t>Subsequent developments are consistent with this analysis’s December 2023 assessment</w:t>
      </w:r>
      <w:r w:rsidR="007F7735">
        <w:rPr>
          <w:rFonts w:ascii="Times New Roman" w:hAnsi="Times New Roman" w:cs="Times New Roman"/>
          <w:color w:val="000000"/>
          <w:sz w:val="22"/>
          <w:szCs w:val="22"/>
        </w:rPr>
        <w:t>. T</w:t>
      </w:r>
      <w:r w:rsidRPr="007F7735">
        <w:rPr>
          <w:rFonts w:ascii="Times New Roman" w:hAnsi="Times New Roman" w:cs="Times New Roman"/>
          <w:color w:val="000000"/>
          <w:sz w:val="22"/>
          <w:szCs w:val="22"/>
        </w:rPr>
        <w:t>he</w:t>
      </w:r>
      <w:r w:rsidR="007F7735">
        <w:rPr>
          <w:rFonts w:ascii="Times New Roman" w:hAnsi="Times New Roman" w:cs="Times New Roman"/>
          <w:color w:val="000000"/>
          <w:sz w:val="22"/>
          <w:szCs w:val="22"/>
        </w:rPr>
        <w:t xml:space="preserve"> </w:t>
      </w:r>
      <w:r w:rsidRPr="007F7735">
        <w:rPr>
          <w:rFonts w:ascii="Times New Roman" w:hAnsi="Times New Roman" w:cs="Times New Roman"/>
          <w:color w:val="000000"/>
          <w:sz w:val="22"/>
          <w:szCs w:val="22"/>
        </w:rPr>
        <w:t>gap between disciplined, data-driven digital lenders and the conventional credit market widened rather than narrowed through 2025, and at least one VC-funded, consumer-facing competitor exited the market entirely.</w:t>
      </w:r>
    </w:p>
    <w:p w14:paraId="4FAB3689" w14:textId="77777777" w:rsidR="00D70087" w:rsidRPr="007F7735" w:rsidRDefault="00000000">
      <w:pPr>
        <w:pStyle w:val="Heading2"/>
        <w:spacing w:before="160" w:after="80"/>
        <w:rPr>
          <w:rFonts w:ascii="Times New Roman" w:hAnsi="Times New Roman" w:cs="Times New Roman"/>
          <w:sz w:val="22"/>
          <w:szCs w:val="22"/>
        </w:rPr>
      </w:pPr>
      <w:r w:rsidRPr="007F7735">
        <w:rPr>
          <w:rFonts w:ascii="Times New Roman" w:hAnsi="Times New Roman" w:cs="Times New Roman"/>
          <w:b/>
          <w:bCs/>
          <w:color w:val="000000"/>
          <w:sz w:val="22"/>
          <w:szCs w:val="22"/>
        </w:rPr>
        <w:t>Closing Synthesis</w:t>
      </w:r>
    </w:p>
    <w:p w14:paraId="765806A6" w14:textId="629293CB" w:rsidR="00D70087" w:rsidRPr="007F7735" w:rsidRDefault="00000000">
      <w:pPr>
        <w:spacing w:after="120"/>
        <w:jc w:val="both"/>
        <w:rPr>
          <w:rFonts w:ascii="Times New Roman" w:hAnsi="Times New Roman" w:cs="Times New Roman"/>
          <w:sz w:val="22"/>
          <w:szCs w:val="22"/>
        </w:rPr>
      </w:pPr>
      <w:r w:rsidRPr="007F7735">
        <w:rPr>
          <w:rFonts w:ascii="Times New Roman" w:hAnsi="Times New Roman" w:cs="Times New Roman"/>
          <w:color w:val="000000"/>
          <w:sz w:val="22"/>
          <w:szCs w:val="22"/>
        </w:rPr>
        <w:t>DCP licensing status is a necessary but insufficient signal for capital allocators. The CBK’s framework has meaningfully raised the floor for Kenya’s digital lending market</w:t>
      </w:r>
      <w:r w:rsidR="007F7735">
        <w:rPr>
          <w:rFonts w:ascii="Times New Roman" w:hAnsi="Times New Roman" w:cs="Times New Roman"/>
          <w:color w:val="000000"/>
          <w:sz w:val="22"/>
          <w:szCs w:val="22"/>
        </w:rPr>
        <w:t xml:space="preserve"> while </w:t>
      </w:r>
      <w:r w:rsidRPr="007F7735">
        <w:rPr>
          <w:rFonts w:ascii="Times New Roman" w:hAnsi="Times New Roman" w:cs="Times New Roman"/>
          <w:color w:val="000000"/>
          <w:sz w:val="22"/>
          <w:szCs w:val="22"/>
        </w:rPr>
        <w:t>licensing only 10 of 288 initial applicants at launch, rising to 32 by the end of 2023</w:t>
      </w:r>
      <w:r w:rsidR="007F7735">
        <w:rPr>
          <w:rFonts w:ascii="Times New Roman" w:hAnsi="Times New Roman" w:cs="Times New Roman"/>
          <w:color w:val="000000"/>
          <w:sz w:val="22"/>
          <w:szCs w:val="22"/>
        </w:rPr>
        <w:t xml:space="preserve">, </w:t>
      </w:r>
      <w:r w:rsidRPr="007F7735">
        <w:rPr>
          <w:rFonts w:ascii="Times New Roman" w:hAnsi="Times New Roman" w:cs="Times New Roman"/>
          <w:color w:val="000000"/>
          <w:sz w:val="22"/>
          <w:szCs w:val="22"/>
        </w:rPr>
        <w:t>eliminating many of the actors responsible for the pre-2022 over-indebtedness crisis. But among the 32 providers that cleared that bar, outcomes for borrowers and investors alike still diverge by more than 100-fold in effective pricing and by a wide margin in default performance. Funding model discipline and underwriting methodology</w:t>
      </w:r>
      <w:r w:rsidR="007F7735">
        <w:rPr>
          <w:rFonts w:ascii="Times New Roman" w:hAnsi="Times New Roman" w:cs="Times New Roman"/>
          <w:color w:val="000000"/>
          <w:sz w:val="22"/>
          <w:szCs w:val="22"/>
        </w:rPr>
        <w:t xml:space="preserve"> </w:t>
      </w:r>
      <w:r w:rsidRPr="007F7735">
        <w:rPr>
          <w:rFonts w:ascii="Times New Roman" w:hAnsi="Times New Roman" w:cs="Times New Roman"/>
          <w:color w:val="000000"/>
          <w:sz w:val="22"/>
          <w:szCs w:val="22"/>
        </w:rPr>
        <w:t>are what separate 4G Capital and Pezesha from Tala and Zenka and they should be weighted at least as heavily as growth metrics or loan volume when allocating capital into this sector.</w:t>
      </w:r>
    </w:p>
    <w:sectPr w:rsidR="00D70087" w:rsidRPr="007F773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C70E55" w14:textId="77777777" w:rsidR="000A761A" w:rsidRDefault="000A761A">
      <w:r>
        <w:separator/>
      </w:r>
    </w:p>
  </w:endnote>
  <w:endnote w:type="continuationSeparator" w:id="0">
    <w:p w14:paraId="37F31988" w14:textId="77777777" w:rsidR="000A761A" w:rsidRDefault="000A7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77FC69" w14:textId="77777777" w:rsidR="000A761A" w:rsidRDefault="000A761A">
      <w:r>
        <w:separator/>
      </w:r>
    </w:p>
  </w:footnote>
  <w:footnote w:type="continuationSeparator" w:id="0">
    <w:p w14:paraId="121F89D5" w14:textId="77777777" w:rsidR="000A761A" w:rsidRDefault="000A761A">
      <w:r>
        <w:continuationSeparator/>
      </w:r>
    </w:p>
  </w:footnote>
  <w:footnote w:id="1">
    <w:p w14:paraId="3CF73900" w14:textId="77777777" w:rsidR="00D70087" w:rsidRPr="003A5447" w:rsidRDefault="00000000">
      <w:pPr>
        <w:rPr>
          <w:rFonts w:ascii="Times New Roman" w:hAnsi="Times New Roman" w:cs="Times New Roman"/>
        </w:rPr>
      </w:pPr>
      <w:r w:rsidRPr="003A5447">
        <w:rPr>
          <w:rStyle w:val="FootnoteReference"/>
          <w:rFonts w:ascii="Times New Roman" w:hAnsi="Times New Roman" w:cs="Times New Roman"/>
        </w:rPr>
        <w:footnoteRef/>
      </w:r>
      <w:r w:rsidRPr="003A5447">
        <w:rPr>
          <w:rFonts w:ascii="Times New Roman" w:hAnsi="Times New Roman" w:cs="Times New Roman"/>
        </w:rPr>
        <w:t>Zenka Loan Interest Rate &amp; Processing Fee in Kenya, Saidia; Zenka Loan App Kenya, Google Play Store.</w:t>
      </w:r>
    </w:p>
  </w:footnote>
  <w:footnote w:id="2">
    <w:p w14:paraId="73528D1D" w14:textId="77777777" w:rsidR="00D70087" w:rsidRPr="003A5447" w:rsidRDefault="00000000">
      <w:pPr>
        <w:rPr>
          <w:rFonts w:ascii="Times New Roman" w:hAnsi="Times New Roman" w:cs="Times New Roman"/>
        </w:rPr>
      </w:pPr>
      <w:r w:rsidRPr="003A5447">
        <w:rPr>
          <w:rStyle w:val="FootnoteReference"/>
          <w:rFonts w:ascii="Times New Roman" w:hAnsi="Times New Roman" w:cs="Times New Roman"/>
        </w:rPr>
        <w:footnoteRef/>
      </w:r>
      <w:r w:rsidRPr="003A5447">
        <w:rPr>
          <w:rFonts w:ascii="Times New Roman" w:hAnsi="Times New Roman" w:cs="Times New Roman"/>
        </w:rPr>
        <w:t>Central Bank of Kenya, Press Release — Licensing of Digital Credit Providers; Kenya Financial Sector Stability Report 2023, Central Bank of Kenya.</w:t>
      </w:r>
    </w:p>
  </w:footnote>
  <w:footnote w:id="3">
    <w:p w14:paraId="40FC82C1" w14:textId="77777777" w:rsidR="00D70087" w:rsidRPr="003A5447" w:rsidRDefault="00000000">
      <w:pPr>
        <w:rPr>
          <w:rFonts w:ascii="Times New Roman" w:hAnsi="Times New Roman" w:cs="Times New Roman"/>
        </w:rPr>
      </w:pPr>
      <w:r w:rsidRPr="003A5447">
        <w:rPr>
          <w:rStyle w:val="FootnoteReference"/>
          <w:rFonts w:ascii="Times New Roman" w:hAnsi="Times New Roman" w:cs="Times New Roman"/>
        </w:rPr>
        <w:footnoteRef/>
      </w:r>
      <w:r w:rsidRPr="003A5447">
        <w:rPr>
          <w:rFonts w:ascii="Times New Roman" w:hAnsi="Times New Roman" w:cs="Times New Roman"/>
        </w:rPr>
        <w:t>Kenyan SME Lender 4G Capital Says 92% of Borrowers Repay on Time as Bad Loans Rise, Temitayo Jaiyeola, TechCabal.</w:t>
      </w:r>
    </w:p>
  </w:footnote>
  <w:footnote w:id="4">
    <w:p w14:paraId="3230EB46" w14:textId="77777777" w:rsidR="00D70087" w:rsidRPr="003A5447" w:rsidRDefault="00000000">
      <w:pPr>
        <w:rPr>
          <w:rFonts w:ascii="Times New Roman" w:hAnsi="Times New Roman" w:cs="Times New Roman"/>
        </w:rPr>
      </w:pPr>
      <w:r w:rsidRPr="003A5447">
        <w:rPr>
          <w:rStyle w:val="FootnoteReference"/>
          <w:rFonts w:ascii="Times New Roman" w:hAnsi="Times New Roman" w:cs="Times New Roman"/>
        </w:rPr>
        <w:footnoteRef/>
      </w:r>
      <w:r w:rsidRPr="003A5447">
        <w:rPr>
          <w:rFonts w:ascii="Times New Roman" w:hAnsi="Times New Roman" w:cs="Times New Roman"/>
        </w:rPr>
        <w:t>Morning Note, I&amp;M Bank; Powerhive Partners with 4G Capital to Advance Electric Mobility Agenda, Mastercard Foundation. Citi and Dry Associates facility terms as reported in research brief; original facility documentation not included in submitted source list.</w:t>
      </w:r>
    </w:p>
  </w:footnote>
  <w:footnote w:id="5">
    <w:p w14:paraId="19BEA902" w14:textId="77777777" w:rsidR="00D70087" w:rsidRPr="003A5447" w:rsidRDefault="00000000">
      <w:pPr>
        <w:rPr>
          <w:rFonts w:ascii="Times New Roman" w:hAnsi="Times New Roman" w:cs="Times New Roman"/>
        </w:rPr>
      </w:pPr>
      <w:r w:rsidRPr="003A5447">
        <w:rPr>
          <w:rStyle w:val="FootnoteReference"/>
          <w:rFonts w:ascii="Times New Roman" w:hAnsi="Times New Roman" w:cs="Times New Roman"/>
        </w:rPr>
        <w:footnoteRef/>
      </w:r>
      <w:r w:rsidRPr="003A5447">
        <w:rPr>
          <w:rFonts w:ascii="Times New Roman" w:hAnsi="Times New Roman" w:cs="Times New Roman"/>
        </w:rPr>
        <w:t>Central Bank of Kenya, Press Release — Licensing of Digital Credit Providers; The Central Bank of Kenya’s Expanded Net Over Non-Deposit Taking Credit Providers, Cliffe Dekker Hofmeyr.</w:t>
      </w:r>
    </w:p>
  </w:footnote>
  <w:footnote w:id="6">
    <w:p w14:paraId="42667DA1" w14:textId="77777777" w:rsidR="00D70087" w:rsidRPr="003A5447" w:rsidRDefault="00000000">
      <w:pPr>
        <w:rPr>
          <w:rFonts w:ascii="Times New Roman" w:hAnsi="Times New Roman" w:cs="Times New Roman"/>
        </w:rPr>
      </w:pPr>
      <w:r w:rsidRPr="003A5447">
        <w:rPr>
          <w:rStyle w:val="FootnoteReference"/>
          <w:rFonts w:ascii="Times New Roman" w:hAnsi="Times New Roman" w:cs="Times New Roman"/>
        </w:rPr>
        <w:footnoteRef/>
      </w:r>
      <w:r w:rsidRPr="003A5447">
        <w:rPr>
          <w:rFonts w:ascii="Times New Roman" w:hAnsi="Times New Roman" w:cs="Times New Roman"/>
        </w:rPr>
        <w:t>Uniting Tech and Touch, Alexis Beggs Olsen, Center for Financial Inclusion; UPIA by 4G Capital, 4gcapital.com.</w:t>
      </w:r>
    </w:p>
  </w:footnote>
  <w:footnote w:id="7">
    <w:p w14:paraId="70EE6366" w14:textId="77777777" w:rsidR="00D70087" w:rsidRDefault="00000000">
      <w:r w:rsidRPr="003A5447">
        <w:rPr>
          <w:rStyle w:val="FootnoteReference"/>
          <w:rFonts w:ascii="Times New Roman" w:hAnsi="Times New Roman" w:cs="Times New Roman"/>
        </w:rPr>
        <w:footnoteRef/>
      </w:r>
      <w:r w:rsidRPr="003A5447">
        <w:rPr>
          <w:rFonts w:ascii="Times New Roman" w:hAnsi="Times New Roman" w:cs="Times New Roman"/>
        </w:rPr>
        <w:t>Zenka Loan Interest Rate &amp; Processing Fee in Kenya, Saidia; Zenka Loan App Kenya, Google Play Store</w:t>
      </w:r>
      <w:r>
        <w:t>.</w:t>
      </w:r>
    </w:p>
  </w:footnote>
  <w:footnote w:id="8">
    <w:p w14:paraId="04683F10" w14:textId="77777777" w:rsidR="00D70087" w:rsidRPr="00EE2321" w:rsidRDefault="00000000">
      <w:pPr>
        <w:rPr>
          <w:rFonts w:ascii="Times New Roman" w:hAnsi="Times New Roman" w:cs="Times New Roman"/>
        </w:rPr>
      </w:pPr>
      <w:r w:rsidRPr="00EE2321">
        <w:rPr>
          <w:rStyle w:val="FootnoteReference"/>
          <w:rFonts w:ascii="Times New Roman" w:hAnsi="Times New Roman" w:cs="Times New Roman"/>
        </w:rPr>
        <w:footnoteRef/>
      </w:r>
      <w:r w:rsidRPr="00EE2321">
        <w:rPr>
          <w:rFonts w:ascii="Times New Roman" w:hAnsi="Times New Roman" w:cs="Times New Roman"/>
        </w:rPr>
        <w:t>Central Bank of Kenya, Press Release — Licensing of Digital Credit Providers; The Central Bank of Kenya’s Expanded Net Over Non-Deposit Taking Credit Providers, Cliffe Dekker Hofmeyr.</w:t>
      </w:r>
    </w:p>
  </w:footnote>
  <w:footnote w:id="9">
    <w:p w14:paraId="2E47F7CB" w14:textId="77777777" w:rsidR="00D70087" w:rsidRPr="00EE2321" w:rsidRDefault="00000000">
      <w:pPr>
        <w:rPr>
          <w:rFonts w:ascii="Times New Roman" w:hAnsi="Times New Roman" w:cs="Times New Roman"/>
        </w:rPr>
      </w:pPr>
      <w:r w:rsidRPr="00EE2321">
        <w:rPr>
          <w:rStyle w:val="FootnoteReference"/>
          <w:rFonts w:ascii="Times New Roman" w:hAnsi="Times New Roman" w:cs="Times New Roman"/>
        </w:rPr>
        <w:footnoteRef/>
      </w:r>
      <w:r w:rsidRPr="00EE2321">
        <w:rPr>
          <w:rFonts w:ascii="Times New Roman" w:hAnsi="Times New Roman" w:cs="Times New Roman"/>
        </w:rPr>
        <w:t>English Text, David Kruijff and Alexander Sotiriou, CGAP / World Bank Open Knowledge Repository (FinAccess 2021 data on negatively listed accounts and default/late-payment rates).</w:t>
      </w:r>
    </w:p>
  </w:footnote>
  <w:footnote w:id="10">
    <w:p w14:paraId="19F9FC51" w14:textId="77777777" w:rsidR="00D70087" w:rsidRPr="00EE2321" w:rsidRDefault="00000000">
      <w:pPr>
        <w:rPr>
          <w:rFonts w:ascii="Times New Roman" w:hAnsi="Times New Roman" w:cs="Times New Roman"/>
        </w:rPr>
      </w:pPr>
      <w:r w:rsidRPr="00EE2321">
        <w:rPr>
          <w:rStyle w:val="FootnoteReference"/>
          <w:rFonts w:ascii="Times New Roman" w:hAnsi="Times New Roman" w:cs="Times New Roman"/>
        </w:rPr>
        <w:footnoteRef/>
      </w:r>
      <w:r w:rsidRPr="00EE2321">
        <w:rPr>
          <w:rFonts w:ascii="Times New Roman" w:hAnsi="Times New Roman" w:cs="Times New Roman"/>
        </w:rPr>
        <w:t>Central Bank of Kenya, Press Release — Licensing of Digital Credit Providers; The Central Bank of Kenya’s Expanded Net Over Non-Deposit Taking Credit Providers, Cliffe Dekker Hofmeyr.</w:t>
      </w:r>
    </w:p>
  </w:footnote>
  <w:footnote w:id="11">
    <w:p w14:paraId="2651738A" w14:textId="77777777" w:rsidR="00D70087" w:rsidRPr="005E4042" w:rsidRDefault="00000000">
      <w:pPr>
        <w:rPr>
          <w:rFonts w:ascii="Times New Roman" w:hAnsi="Times New Roman" w:cs="Times New Roman"/>
        </w:rPr>
      </w:pPr>
      <w:r w:rsidRPr="005E4042">
        <w:rPr>
          <w:rStyle w:val="FootnoteReference"/>
          <w:rFonts w:ascii="Times New Roman" w:hAnsi="Times New Roman" w:cs="Times New Roman"/>
        </w:rPr>
        <w:footnoteRef/>
      </w:r>
      <w:r w:rsidRPr="005E4042">
        <w:rPr>
          <w:rFonts w:ascii="Times New Roman" w:hAnsi="Times New Roman" w:cs="Times New Roman"/>
        </w:rPr>
        <w:t>Tala MoneyMarch 2023 Report, tala.co (cited in research brief; original report not included in submitted source list).</w:t>
      </w:r>
    </w:p>
  </w:footnote>
  <w:footnote w:id="12">
    <w:p w14:paraId="1DCA2CE2" w14:textId="77777777" w:rsidR="00D70087" w:rsidRPr="005E4042" w:rsidRDefault="00000000">
      <w:pPr>
        <w:rPr>
          <w:rFonts w:ascii="Times New Roman" w:hAnsi="Times New Roman" w:cs="Times New Roman"/>
        </w:rPr>
      </w:pPr>
      <w:r w:rsidRPr="005E4042">
        <w:rPr>
          <w:rStyle w:val="FootnoteReference"/>
          <w:rFonts w:ascii="Times New Roman" w:hAnsi="Times New Roman" w:cs="Times New Roman"/>
        </w:rPr>
        <w:footnoteRef/>
      </w:r>
      <w:r w:rsidRPr="005E4042">
        <w:rPr>
          <w:rFonts w:ascii="Times New Roman" w:hAnsi="Times New Roman" w:cs="Times New Roman"/>
        </w:rPr>
        <w:t>Kenya Financial Sector Stability Report 2023, Central Bank of Kenya; Bank Supervision Annual Report 2023, Central Bank of Kenya.</w:t>
      </w:r>
    </w:p>
  </w:footnote>
  <w:footnote w:id="13">
    <w:p w14:paraId="702892F8" w14:textId="77777777" w:rsidR="00D70087" w:rsidRPr="005E4042" w:rsidRDefault="00000000">
      <w:pPr>
        <w:rPr>
          <w:rFonts w:ascii="Times New Roman" w:hAnsi="Times New Roman" w:cs="Times New Roman"/>
        </w:rPr>
      </w:pPr>
      <w:r w:rsidRPr="005E4042">
        <w:rPr>
          <w:rStyle w:val="FootnoteReference"/>
          <w:rFonts w:ascii="Times New Roman" w:hAnsi="Times New Roman" w:cs="Times New Roman"/>
        </w:rPr>
        <w:footnoteRef/>
      </w:r>
      <w:r w:rsidRPr="005E4042">
        <w:rPr>
          <w:rFonts w:ascii="Times New Roman" w:hAnsi="Times New Roman" w:cs="Times New Roman"/>
        </w:rPr>
        <w:t>Kenya Financial Sector Stability Report 2023, Central Bank of Kenya; AMFI Kenya 2025 Microfinance Sector Report, Association of Microfinance Institutions (Kenya). Figure is the closest available proxy; not pinned to a single page reference.</w:t>
      </w:r>
    </w:p>
  </w:footnote>
  <w:footnote w:id="14">
    <w:p w14:paraId="5F9B2F20" w14:textId="77777777" w:rsidR="00D70087" w:rsidRPr="005E4042" w:rsidRDefault="00000000">
      <w:pPr>
        <w:rPr>
          <w:rFonts w:ascii="Times New Roman" w:hAnsi="Times New Roman" w:cs="Times New Roman"/>
        </w:rPr>
      </w:pPr>
      <w:r w:rsidRPr="005E4042">
        <w:rPr>
          <w:rStyle w:val="FootnoteReference"/>
          <w:rFonts w:ascii="Times New Roman" w:hAnsi="Times New Roman" w:cs="Times New Roman"/>
        </w:rPr>
        <w:footnoteRef/>
      </w:r>
      <w:r w:rsidRPr="005E4042">
        <w:rPr>
          <w:rFonts w:ascii="Times New Roman" w:hAnsi="Times New Roman" w:cs="Times New Roman"/>
        </w:rPr>
        <w:t>Kenya Financial Sector Stability Report 2023, Central Bank of Kenya; Bank Supervision Annual Report 2023, Central Bank of Kenya. Figure is the closest available proxy; not pinned to a single page reference.</w:t>
      </w:r>
    </w:p>
  </w:footnote>
  <w:footnote w:id="15">
    <w:p w14:paraId="5F6BC234" w14:textId="77777777" w:rsidR="00D70087" w:rsidRPr="005E4042" w:rsidRDefault="00000000">
      <w:pPr>
        <w:rPr>
          <w:rFonts w:ascii="Times New Roman" w:hAnsi="Times New Roman" w:cs="Times New Roman"/>
        </w:rPr>
      </w:pPr>
      <w:r w:rsidRPr="005E4042">
        <w:rPr>
          <w:rStyle w:val="FootnoteReference"/>
          <w:rFonts w:ascii="Times New Roman" w:hAnsi="Times New Roman" w:cs="Times New Roman"/>
        </w:rPr>
        <w:footnoteRef/>
      </w:r>
      <w:r w:rsidRPr="005E4042">
        <w:rPr>
          <w:rFonts w:ascii="Times New Roman" w:hAnsi="Times New Roman" w:cs="Times New Roman"/>
        </w:rPr>
        <w:t>Uniting Tech and Touch, Alexis Beggs Olsen, Center for Financial Inclusion; UPIA by 4G Capital, 4gcapital.com.</w:t>
      </w:r>
    </w:p>
  </w:footnote>
  <w:footnote w:id="16">
    <w:p w14:paraId="44062E17" w14:textId="77777777" w:rsidR="00D70087" w:rsidRPr="005E4042" w:rsidRDefault="00000000">
      <w:pPr>
        <w:rPr>
          <w:rFonts w:ascii="Times New Roman" w:hAnsi="Times New Roman" w:cs="Times New Roman"/>
        </w:rPr>
      </w:pPr>
      <w:r w:rsidRPr="005E4042">
        <w:rPr>
          <w:rStyle w:val="FootnoteReference"/>
          <w:rFonts w:ascii="Times New Roman" w:hAnsi="Times New Roman" w:cs="Times New Roman"/>
        </w:rPr>
        <w:footnoteRef/>
      </w:r>
      <w:r w:rsidRPr="005E4042">
        <w:rPr>
          <w:rFonts w:ascii="Times New Roman" w:hAnsi="Times New Roman" w:cs="Times New Roman"/>
        </w:rPr>
        <w:t>Digital Financial Ecosystem for Connecting MSMEs to Capital, pezesha.com; Pezesha 2024 Impact Report.</w:t>
      </w:r>
    </w:p>
  </w:footnote>
  <w:footnote w:id="17">
    <w:p w14:paraId="3C230318" w14:textId="77777777" w:rsidR="00D70087" w:rsidRPr="005E4042" w:rsidRDefault="00000000">
      <w:pPr>
        <w:rPr>
          <w:rFonts w:ascii="Times New Roman" w:hAnsi="Times New Roman" w:cs="Times New Roman"/>
        </w:rPr>
      </w:pPr>
      <w:r w:rsidRPr="005E4042">
        <w:rPr>
          <w:rStyle w:val="FootnoteReference"/>
          <w:rFonts w:ascii="Times New Roman" w:hAnsi="Times New Roman" w:cs="Times New Roman"/>
        </w:rPr>
        <w:footnoteRef/>
      </w:r>
      <w:r w:rsidRPr="005E4042">
        <w:rPr>
          <w:rFonts w:ascii="Times New Roman" w:hAnsi="Times New Roman" w:cs="Times New Roman"/>
        </w:rPr>
        <w:t>How Does Tala Company Operate?, Business Model Canvas Templates; Tala Disbursement in Kenya Hits Sh300 Billion, Capital FM via allAfrica.com.</w:t>
      </w:r>
    </w:p>
  </w:footnote>
  <w:footnote w:id="18">
    <w:p w14:paraId="263A8849" w14:textId="77777777" w:rsidR="00D70087" w:rsidRPr="005E4042" w:rsidRDefault="00000000">
      <w:pPr>
        <w:rPr>
          <w:rFonts w:ascii="Times New Roman" w:hAnsi="Times New Roman" w:cs="Times New Roman"/>
        </w:rPr>
      </w:pPr>
      <w:r w:rsidRPr="005E4042">
        <w:rPr>
          <w:rStyle w:val="FootnoteReference"/>
          <w:rFonts w:ascii="Times New Roman" w:hAnsi="Times New Roman" w:cs="Times New Roman"/>
        </w:rPr>
        <w:footnoteRef/>
      </w:r>
      <w:r w:rsidRPr="005E4042">
        <w:rPr>
          <w:rFonts w:ascii="Times New Roman" w:hAnsi="Times New Roman" w:cs="Times New Roman"/>
        </w:rPr>
        <w:t>Zenka Loan App Kenya, Google Play Store; Branch, Zenka Among 40 Loan Apps Accused of Personal Data Breaches, Nairobi Wire.</w:t>
      </w:r>
    </w:p>
  </w:footnote>
  <w:footnote w:id="19">
    <w:p w14:paraId="2E8B26D2" w14:textId="77777777" w:rsidR="00D70087" w:rsidRPr="007F7735" w:rsidRDefault="00000000">
      <w:pPr>
        <w:rPr>
          <w:rFonts w:ascii="Times New Roman" w:hAnsi="Times New Roman" w:cs="Times New Roman"/>
        </w:rPr>
      </w:pPr>
      <w:r w:rsidRPr="007F7735">
        <w:rPr>
          <w:rStyle w:val="FootnoteReference"/>
          <w:rFonts w:ascii="Times New Roman" w:hAnsi="Times New Roman" w:cs="Times New Roman"/>
        </w:rPr>
        <w:footnoteRef/>
      </w:r>
      <w:r w:rsidRPr="007F7735">
        <w:rPr>
          <w:rFonts w:ascii="Times New Roman" w:hAnsi="Times New Roman" w:cs="Times New Roman"/>
        </w:rPr>
        <w:t>Morning Note, I&amp;M Bank; Powerhive Partners with 4G Capital to Advance Electric Mobility Agenda, Mastercard Foundation. Citi and Dry Associates facility terms as reported in research brief; original facility documentation not included in submitted source list.</w:t>
      </w:r>
    </w:p>
  </w:footnote>
  <w:footnote w:id="20">
    <w:p w14:paraId="2B5D1903" w14:textId="77777777" w:rsidR="00D70087" w:rsidRPr="007F7735" w:rsidRDefault="00000000">
      <w:pPr>
        <w:rPr>
          <w:rFonts w:ascii="Times New Roman" w:hAnsi="Times New Roman" w:cs="Times New Roman"/>
        </w:rPr>
      </w:pPr>
      <w:r w:rsidRPr="007F7735">
        <w:rPr>
          <w:rStyle w:val="FootnoteReference"/>
          <w:rFonts w:ascii="Times New Roman" w:hAnsi="Times New Roman" w:cs="Times New Roman"/>
        </w:rPr>
        <w:footnoteRef/>
      </w:r>
      <w:r w:rsidRPr="007F7735">
        <w:rPr>
          <w:rFonts w:ascii="Times New Roman" w:hAnsi="Times New Roman" w:cs="Times New Roman"/>
        </w:rPr>
        <w:t>How Does Tala Company Operate?, Business Model Canvas Templates; Tala Disbursement in Kenya Hits Sh300 Billion, Capital FM via allAfrica.com.</w:t>
      </w:r>
    </w:p>
  </w:footnote>
  <w:footnote w:id="21">
    <w:p w14:paraId="2D954FF3" w14:textId="77777777" w:rsidR="00D70087" w:rsidRPr="007F7735" w:rsidRDefault="00000000">
      <w:pPr>
        <w:rPr>
          <w:rFonts w:ascii="Times New Roman" w:hAnsi="Times New Roman" w:cs="Times New Roman"/>
        </w:rPr>
      </w:pPr>
      <w:r w:rsidRPr="007F7735">
        <w:rPr>
          <w:rStyle w:val="FootnoteReference"/>
          <w:rFonts w:ascii="Times New Roman" w:hAnsi="Times New Roman" w:cs="Times New Roman"/>
        </w:rPr>
        <w:footnoteRef/>
      </w:r>
      <w:r w:rsidRPr="007F7735">
        <w:rPr>
          <w:rFonts w:ascii="Times New Roman" w:hAnsi="Times New Roman" w:cs="Times New Roman"/>
        </w:rPr>
        <w:t>Sun Finance Acquires AS Zenka Group and Expands into Africa, publicnow.com; Aigars Kesenfelds, Wikipedia.</w:t>
      </w:r>
    </w:p>
  </w:footnote>
  <w:footnote w:id="22">
    <w:p w14:paraId="5428D82C" w14:textId="77777777" w:rsidR="00D70087" w:rsidRPr="007F7735" w:rsidRDefault="00000000">
      <w:pPr>
        <w:rPr>
          <w:rFonts w:ascii="Times New Roman" w:hAnsi="Times New Roman" w:cs="Times New Roman"/>
        </w:rPr>
      </w:pPr>
      <w:r w:rsidRPr="007F7735">
        <w:rPr>
          <w:rStyle w:val="FootnoteReference"/>
          <w:rFonts w:ascii="Times New Roman" w:hAnsi="Times New Roman" w:cs="Times New Roman"/>
        </w:rPr>
        <w:footnoteRef/>
      </w:r>
      <w:r w:rsidRPr="007F7735">
        <w:rPr>
          <w:rFonts w:ascii="Times New Roman" w:hAnsi="Times New Roman" w:cs="Times New Roman"/>
        </w:rPr>
        <w:t>DFC-2024-PEZESHAAFRICA — Pezesha Africa Limited TA, Early Warning System / U.S. International Development Finance Corporation; Annual Report 2024, DFC.</w:t>
      </w:r>
    </w:p>
  </w:footnote>
  <w:footnote w:id="23">
    <w:p w14:paraId="3DF9E0FB" w14:textId="77777777" w:rsidR="00D70087" w:rsidRPr="007F7735" w:rsidRDefault="00000000">
      <w:pPr>
        <w:rPr>
          <w:rFonts w:ascii="Times New Roman" w:hAnsi="Times New Roman" w:cs="Times New Roman"/>
        </w:rPr>
      </w:pPr>
      <w:r w:rsidRPr="007F7735">
        <w:rPr>
          <w:rStyle w:val="FootnoteReference"/>
          <w:rFonts w:ascii="Times New Roman" w:hAnsi="Times New Roman" w:cs="Times New Roman"/>
        </w:rPr>
        <w:footnoteRef/>
      </w:r>
      <w:r w:rsidRPr="007F7735">
        <w:rPr>
          <w:rFonts w:ascii="Times New Roman" w:hAnsi="Times New Roman" w:cs="Times New Roman"/>
        </w:rPr>
        <w:t>Uniting Tech and Touch, Alexis Beggs Olsen, Center for Financial Inclusion; UPIA by 4G Capital, 4gcapital.com.</w:t>
      </w:r>
    </w:p>
  </w:footnote>
  <w:footnote w:id="24">
    <w:p w14:paraId="3638E496" w14:textId="77777777" w:rsidR="00D70087" w:rsidRPr="007F7735" w:rsidRDefault="00000000">
      <w:pPr>
        <w:rPr>
          <w:rFonts w:ascii="Times New Roman" w:hAnsi="Times New Roman" w:cs="Times New Roman"/>
        </w:rPr>
      </w:pPr>
      <w:r w:rsidRPr="007F7735">
        <w:rPr>
          <w:rStyle w:val="FootnoteReference"/>
          <w:rFonts w:ascii="Times New Roman" w:hAnsi="Times New Roman" w:cs="Times New Roman"/>
        </w:rPr>
        <w:footnoteRef/>
      </w:r>
      <w:r w:rsidRPr="007F7735">
        <w:rPr>
          <w:rFonts w:ascii="Times New Roman" w:hAnsi="Times New Roman" w:cs="Times New Roman"/>
        </w:rPr>
        <w:t>Zenka Writes Off Ksh166 Million Defaulted Loans, Ndungu Brian, African Watch; Zenka Follows CBK Order, Writes Off Sh166m of Customers’ Debt, The Star Kenya.</w:t>
      </w:r>
    </w:p>
  </w:footnote>
  <w:footnote w:id="25">
    <w:p w14:paraId="3FA61B72" w14:textId="77777777" w:rsidR="00D70087" w:rsidRPr="007F7735" w:rsidRDefault="00000000">
      <w:pPr>
        <w:rPr>
          <w:rFonts w:ascii="Times New Roman" w:hAnsi="Times New Roman" w:cs="Times New Roman"/>
        </w:rPr>
      </w:pPr>
      <w:r w:rsidRPr="007F7735">
        <w:rPr>
          <w:rStyle w:val="FootnoteReference"/>
          <w:rFonts w:ascii="Times New Roman" w:hAnsi="Times New Roman" w:cs="Times New Roman"/>
        </w:rPr>
        <w:footnoteRef/>
      </w:r>
      <w:r w:rsidRPr="007F7735">
        <w:rPr>
          <w:rFonts w:ascii="Times New Roman" w:hAnsi="Times New Roman" w:cs="Times New Roman"/>
        </w:rPr>
        <w:t>Pezesha 2024 Impact Report, Pezesha Africa Limited.</w:t>
      </w:r>
    </w:p>
  </w:footnote>
  <w:footnote w:id="26">
    <w:p w14:paraId="6277ACCB" w14:textId="77777777" w:rsidR="00D70087" w:rsidRPr="007F7735" w:rsidRDefault="00000000">
      <w:pPr>
        <w:rPr>
          <w:rFonts w:ascii="Times New Roman" w:hAnsi="Times New Roman" w:cs="Times New Roman"/>
        </w:rPr>
      </w:pPr>
      <w:r w:rsidRPr="007F7735">
        <w:rPr>
          <w:rStyle w:val="FootnoteReference"/>
          <w:rFonts w:ascii="Times New Roman" w:hAnsi="Times New Roman" w:cs="Times New Roman"/>
        </w:rPr>
        <w:footnoteRef/>
      </w:r>
      <w:r w:rsidRPr="007F7735">
        <w:rPr>
          <w:rFonts w:ascii="Times New Roman" w:hAnsi="Times New Roman" w:cs="Times New Roman"/>
        </w:rPr>
        <w:t>Tala Lays Off 28 Staff as Loan Defaults and Customer Queries Fall, Adonijah Ndege, TechCabal.</w:t>
      </w:r>
    </w:p>
  </w:footnote>
  <w:footnote w:id="27">
    <w:p w14:paraId="242CD36C" w14:textId="77777777" w:rsidR="00D70087" w:rsidRPr="007F7735" w:rsidRDefault="00000000">
      <w:pPr>
        <w:rPr>
          <w:rFonts w:ascii="Times New Roman" w:hAnsi="Times New Roman" w:cs="Times New Roman"/>
        </w:rPr>
      </w:pPr>
      <w:r w:rsidRPr="007F7735">
        <w:rPr>
          <w:rStyle w:val="FootnoteReference"/>
          <w:rFonts w:ascii="Times New Roman" w:hAnsi="Times New Roman" w:cs="Times New Roman"/>
        </w:rPr>
        <w:footnoteRef/>
      </w:r>
      <w:r w:rsidRPr="007F7735">
        <w:rPr>
          <w:rFonts w:ascii="Times New Roman" w:hAnsi="Times New Roman" w:cs="Times New Roman"/>
        </w:rPr>
        <w:t>Positive Friction: Better Borrower Understanding, Better Portfolio Outcomes, Colin Rice, Jayshree Venkatesan, and Rafe Mazer, Center for Financial Inclusion; Pezesha 2024 Impact Report.</w:t>
      </w:r>
    </w:p>
  </w:footnote>
  <w:footnote w:id="28">
    <w:p w14:paraId="66B78A62" w14:textId="77777777" w:rsidR="00D70087" w:rsidRPr="007F7735" w:rsidRDefault="00000000">
      <w:pPr>
        <w:rPr>
          <w:rFonts w:ascii="Times New Roman" w:hAnsi="Times New Roman" w:cs="Times New Roman"/>
        </w:rPr>
      </w:pPr>
      <w:r w:rsidRPr="007F7735">
        <w:rPr>
          <w:rStyle w:val="FootnoteReference"/>
          <w:rFonts w:ascii="Times New Roman" w:hAnsi="Times New Roman" w:cs="Times New Roman"/>
        </w:rPr>
        <w:footnoteRef/>
      </w:r>
      <w:r w:rsidRPr="007F7735">
        <w:rPr>
          <w:rFonts w:ascii="Times New Roman" w:hAnsi="Times New Roman" w:cs="Times New Roman"/>
        </w:rPr>
        <w:t>Kenya’s Loan Defaults Hit 20-Year High as Economic Woes Deepen, The Eastleigh Voice.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623CEE"/>
    <w:multiLevelType w:val="hybridMultilevel"/>
    <w:tmpl w:val="87E8465A"/>
    <w:lvl w:ilvl="0" w:tplc="70DAE29A">
      <w:start w:val="1"/>
      <w:numFmt w:val="bullet"/>
      <w:lvlText w:val="•"/>
      <w:lvlJc w:val="left"/>
      <w:pPr>
        <w:ind w:left="360" w:hanging="270"/>
      </w:pPr>
    </w:lvl>
    <w:lvl w:ilvl="1" w:tplc="C4B033F2">
      <w:numFmt w:val="decimal"/>
      <w:lvlText w:val=""/>
      <w:lvlJc w:val="left"/>
    </w:lvl>
    <w:lvl w:ilvl="2" w:tplc="5AAAAEDA">
      <w:numFmt w:val="decimal"/>
      <w:lvlText w:val=""/>
      <w:lvlJc w:val="left"/>
    </w:lvl>
    <w:lvl w:ilvl="3" w:tplc="4DBC7E40">
      <w:numFmt w:val="decimal"/>
      <w:lvlText w:val=""/>
      <w:lvlJc w:val="left"/>
    </w:lvl>
    <w:lvl w:ilvl="4" w:tplc="0400F030">
      <w:numFmt w:val="decimal"/>
      <w:lvlText w:val=""/>
      <w:lvlJc w:val="left"/>
    </w:lvl>
    <w:lvl w:ilvl="5" w:tplc="E6EA2F1E">
      <w:numFmt w:val="decimal"/>
      <w:lvlText w:val=""/>
      <w:lvlJc w:val="left"/>
    </w:lvl>
    <w:lvl w:ilvl="6" w:tplc="E9C4A696">
      <w:numFmt w:val="decimal"/>
      <w:lvlText w:val=""/>
      <w:lvlJc w:val="left"/>
    </w:lvl>
    <w:lvl w:ilvl="7" w:tplc="3264AB40">
      <w:numFmt w:val="decimal"/>
      <w:lvlText w:val=""/>
      <w:lvlJc w:val="left"/>
    </w:lvl>
    <w:lvl w:ilvl="8" w:tplc="5EB6F67C">
      <w:numFmt w:val="decimal"/>
      <w:lvlText w:val=""/>
      <w:lvlJc w:val="left"/>
    </w:lvl>
  </w:abstractNum>
  <w:abstractNum w:abstractNumId="1" w15:restartNumberingAfterBreak="0">
    <w:nsid w:val="32755F35"/>
    <w:multiLevelType w:val="hybridMultilevel"/>
    <w:tmpl w:val="5F2EF51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15:restartNumberingAfterBreak="0">
    <w:nsid w:val="3A2614E4"/>
    <w:multiLevelType w:val="hybridMultilevel"/>
    <w:tmpl w:val="4508D9CE"/>
    <w:lvl w:ilvl="0" w:tplc="51EADA06">
      <w:start w:val="1"/>
      <w:numFmt w:val="bullet"/>
      <w:lvlText w:val="●"/>
      <w:lvlJc w:val="left"/>
      <w:pPr>
        <w:ind w:left="720" w:hanging="360"/>
      </w:pPr>
    </w:lvl>
    <w:lvl w:ilvl="1" w:tplc="9A1ED8FC">
      <w:start w:val="1"/>
      <w:numFmt w:val="bullet"/>
      <w:lvlText w:val="○"/>
      <w:lvlJc w:val="left"/>
      <w:pPr>
        <w:ind w:left="1440" w:hanging="360"/>
      </w:pPr>
    </w:lvl>
    <w:lvl w:ilvl="2" w:tplc="B4EAF292">
      <w:start w:val="1"/>
      <w:numFmt w:val="bullet"/>
      <w:lvlText w:val="■"/>
      <w:lvlJc w:val="left"/>
      <w:pPr>
        <w:ind w:left="2160" w:hanging="360"/>
      </w:pPr>
    </w:lvl>
    <w:lvl w:ilvl="3" w:tplc="78DCFED4">
      <w:start w:val="1"/>
      <w:numFmt w:val="bullet"/>
      <w:lvlText w:val="●"/>
      <w:lvlJc w:val="left"/>
      <w:pPr>
        <w:ind w:left="2880" w:hanging="360"/>
      </w:pPr>
    </w:lvl>
    <w:lvl w:ilvl="4" w:tplc="A5703462">
      <w:start w:val="1"/>
      <w:numFmt w:val="bullet"/>
      <w:lvlText w:val="○"/>
      <w:lvlJc w:val="left"/>
      <w:pPr>
        <w:ind w:left="3600" w:hanging="360"/>
      </w:pPr>
    </w:lvl>
    <w:lvl w:ilvl="5" w:tplc="EB5E2744">
      <w:start w:val="1"/>
      <w:numFmt w:val="bullet"/>
      <w:lvlText w:val="■"/>
      <w:lvlJc w:val="left"/>
      <w:pPr>
        <w:ind w:left="4320" w:hanging="360"/>
      </w:pPr>
    </w:lvl>
    <w:lvl w:ilvl="6" w:tplc="E8D0F302">
      <w:start w:val="1"/>
      <w:numFmt w:val="bullet"/>
      <w:lvlText w:val="●"/>
      <w:lvlJc w:val="left"/>
      <w:pPr>
        <w:ind w:left="5040" w:hanging="360"/>
      </w:pPr>
    </w:lvl>
    <w:lvl w:ilvl="7" w:tplc="5426A412">
      <w:start w:val="1"/>
      <w:numFmt w:val="bullet"/>
      <w:lvlText w:val="●"/>
      <w:lvlJc w:val="left"/>
      <w:pPr>
        <w:ind w:left="5760" w:hanging="360"/>
      </w:pPr>
    </w:lvl>
    <w:lvl w:ilvl="8" w:tplc="F7947862">
      <w:start w:val="1"/>
      <w:numFmt w:val="bullet"/>
      <w:lvlText w:val="●"/>
      <w:lvlJc w:val="left"/>
      <w:pPr>
        <w:ind w:left="6480" w:hanging="360"/>
      </w:pPr>
    </w:lvl>
  </w:abstractNum>
  <w:abstractNum w:abstractNumId="3" w15:restartNumberingAfterBreak="0">
    <w:nsid w:val="3CE449E1"/>
    <w:multiLevelType w:val="hybridMultilevel"/>
    <w:tmpl w:val="DFC8BAA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53D7343D"/>
    <w:multiLevelType w:val="hybridMultilevel"/>
    <w:tmpl w:val="A5CACDC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72D525D2"/>
    <w:multiLevelType w:val="hybridMultilevel"/>
    <w:tmpl w:val="3996B10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1053819165">
    <w:abstractNumId w:val="2"/>
    <w:lvlOverride w:ilvl="0">
      <w:startOverride w:val="1"/>
    </w:lvlOverride>
  </w:num>
  <w:num w:numId="2" w16cid:durableId="827526440">
    <w:abstractNumId w:val="0"/>
    <w:lvlOverride w:ilvl="0">
      <w:startOverride w:val="1"/>
    </w:lvlOverride>
  </w:num>
  <w:num w:numId="3" w16cid:durableId="366880492">
    <w:abstractNumId w:val="5"/>
  </w:num>
  <w:num w:numId="4" w16cid:durableId="2034304141">
    <w:abstractNumId w:val="3"/>
  </w:num>
  <w:num w:numId="5" w16cid:durableId="1957133201">
    <w:abstractNumId w:val="1"/>
  </w:num>
  <w:num w:numId="6" w16cid:durableId="1794443569">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087"/>
    <w:rsid w:val="000A761A"/>
    <w:rsid w:val="003A5447"/>
    <w:rsid w:val="004364D3"/>
    <w:rsid w:val="005E4042"/>
    <w:rsid w:val="005F4A67"/>
    <w:rsid w:val="007F7735"/>
    <w:rsid w:val="00D70087"/>
    <w:rsid w:val="00EE2321"/>
    <w:rsid w:val="00FD63B3"/>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decimalSymbol w:val="."/>
  <w:listSeparator w:val=","/>
  <w14:docId w14:val="6209EDFA"/>
  <w15:docId w15:val="{16B9E9D2-43EE-224F-8F48-D47902DE8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RW"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1788</Words>
  <Characters>10193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Lisa Uwonkunda</cp:lastModifiedBy>
  <cp:revision>4</cp:revision>
  <dcterms:created xsi:type="dcterms:W3CDTF">2026-06-22T18:47:00Z</dcterms:created>
  <dcterms:modified xsi:type="dcterms:W3CDTF">2026-06-22T19:45:00Z</dcterms:modified>
</cp:coreProperties>
</file>