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Pharmacy Delivery: Weekly Status</w:t>
      </w:r>
    </w:p>
    <w:p>
      <w:pPr>
        <w:pStyle w:val="Heading2"/>
      </w:pPr>
      <w:r>
        <w:t>Current Status</w:t>
      </w:r>
    </w:p>
    <w:p>
      <w:r>
        <w:t>Status: On track. On time delivery rate is 93 percent across both pilot clinics.</w:t>
      </w:r>
    </w:p>
    <w:p>
      <w:pPr>
        <w:pStyle w:val="Heading2"/>
      </w:pPr>
      <w:r>
        <w:t>Decisions</w:t>
      </w:r>
    </w:p>
    <w:p>
      <w:r>
        <w:t>Decision: SwiftRoute selected as the courier partner for the pilot.</w:t>
      </w:r>
    </w:p>
    <w:p>
      <w:r>
        <w:t>Decision: Delivery window set to 2 to 6 PM.</w:t>
      </w:r>
    </w:p>
    <w:p>
      <w:pPr>
        <w:pStyle w:val="Heading2"/>
      </w:pPr>
      <w:r>
        <w:t>Blockers</w:t>
      </w:r>
    </w:p>
    <w:p>
      <w:r>
        <w:t>Blocker: Address validation fails for about 6 percent of member records.</w:t>
      </w:r>
    </w:p>
    <w:p>
      <w:pPr>
        <w:pStyle w:val="Heading2"/>
      </w:pPr>
      <w:r>
        <w:t>Next Steps</w:t>
      </w:r>
    </w:p>
    <w:p>
      <w:r>
        <w:t>Next: The team will run a member satisfaction survey in week 3.</w:t>
      </w:r>
    </w:p>
    <w:p>
      <w:r>
        <w:t>Next: Clean member address data with the data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