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Records OCR: Weekly Status</w:t>
      </w:r>
    </w:p>
    <w:p>
      <w:pPr>
        <w:pStyle w:val="Heading2"/>
      </w:pPr>
      <w:r>
        <w:t>Current Status</w:t>
      </w:r>
    </w:p>
    <w:p>
      <w:r>
        <w:t>Status: At risk. Field extraction accuracy improved to 93 percent on the test batch.</w:t>
      </w:r>
    </w:p>
    <w:p>
      <w:r>
        <w:t>Target go live moved to April 2027 because of the scanner delay.</w:t>
      </w:r>
    </w:p>
    <w:p>
      <w:pPr>
        <w:pStyle w:val="Heading2"/>
      </w:pPr>
      <w:r>
        <w:t>Decisions</w:t>
      </w:r>
    </w:p>
    <w:p>
      <w:r>
        <w:t>Decision: ClearScan selected as the OCR engine after a two week bake off.</w:t>
      </w:r>
    </w:p>
    <w:p>
      <w:r>
        <w:t>Decision: Confidence threshold for human review set at 0.85.</w:t>
      </w:r>
    </w:p>
    <w:p>
      <w:pPr>
        <w:pStyle w:val="Heading2"/>
      </w:pPr>
      <w:r>
        <w:t>Blockers</w:t>
      </w:r>
    </w:p>
    <w:p>
      <w:r>
        <w:t>Blocker: Waiting on scanner hardware delivery for the second clinic.</w:t>
      </w:r>
    </w:p>
    <w:p>
      <w:r>
        <w:t>Blocker: ClearScan API rate limit caps throughput at 200 forms per hour.</w:t>
      </w:r>
    </w:p>
    <w:p>
      <w:pPr>
        <w:pStyle w:val="Heading2"/>
      </w:pPr>
      <w:r>
        <w:t>Next Steps</w:t>
      </w:r>
    </w:p>
    <w:p>
      <w:r>
        <w:t>Next: Expand the test batch to 500 forms.</w:t>
      </w:r>
    </w:p>
    <w:p>
      <w:r>
        <w:t>Next: Draft the review queue workflow with clinic staff.</w:t>
      </w:r>
    </w:p>
    <w:p>
      <w:r>
        <w:t>Next: Request a higher API rate limit from ClearScan.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