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Pharmacy Delivery: Weekly Status</w:t>
      </w:r>
    </w:p>
    <w:p>
      <w:pPr>
        <w:pStyle w:val="Heading2"/>
      </w:pPr>
      <w:r>
        <w:t>Current Status</w:t>
      </w:r>
    </w:p>
    <w:p>
      <w:r>
        <w:t>Status: On track. On time delivery rate is 95 percent across three pilot clinics.</w:t>
      </w:r>
    </w:p>
    <w:p>
      <w:r>
        <w:t>The pilot expanded to the South clinic this week.</w:t>
      </w:r>
    </w:p>
    <w:p>
      <w:pPr>
        <w:pStyle w:val="Heading2"/>
      </w:pPr>
      <w:r>
        <w:t>Decisions</w:t>
      </w:r>
    </w:p>
    <w:p>
      <w:r>
        <w:t>Decision: MedDash replaces SwiftRoute as the courier partner after a pricing review.</w:t>
      </w:r>
    </w:p>
    <w:p>
      <w:r>
        <w:t>Decision: Delivery window set to 2 to 6 PM.</w:t>
      </w:r>
    </w:p>
    <w:p>
      <w:pPr>
        <w:pStyle w:val="Heading2"/>
      </w:pPr>
      <w:r>
        <w:t>Blockers</w:t>
      </w:r>
    </w:p>
    <w:p>
      <w:r>
        <w:t>Blocker: Address validation fails for about 6 percent of member records.</w:t>
      </w:r>
    </w:p>
    <w:p>
      <w:pPr>
        <w:pStyle w:val="Heading2"/>
      </w:pPr>
      <w:r>
        <w:t>Next Steps</w:t>
      </w:r>
    </w:p>
    <w:p>
      <w:r>
        <w:t>Next: The team plans to run a member satisfaction survey in week 3.</w:t>
      </w:r>
    </w:p>
    <w:p>
      <w:r>
        <w:t>Next: Clean member address data with the data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