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Golos Text" w:hAnsi="Golos Text"/>
          <w:b/>
          <w:color w:val="05142A"/>
          <w:sz w:val="56"/>
        </w:rPr>
        <w:t>LISBOA LEGAL GROUP</w:t>
      </w:r>
    </w:p>
    <w:p>
      <w:pPr>
        <w:spacing w:after="800"/>
        <w:jc w:val="center"/>
      </w:pPr>
      <w:r>
        <w:rPr>
          <w:rFonts w:ascii="Golos Text" w:hAnsi="Golos Text"/>
          <w:i/>
          <w:color w:val="D4AF37"/>
          <w:sz w:val="28"/>
        </w:rPr>
        <w:t>Liderazgo Legal. Impacto Global.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4AF37"/>
          </w:tcPr>
          <w:p>
            <w:pPr>
              <w:spacing w:before="40" w:after="40"/>
            </w:pPr>
          </w:p>
        </w:tc>
      </w:tr>
    </w:tbl>
    <w:p>
      <w:pPr>
        <w:spacing w:after="800"/>
      </w:pPr>
    </w:p>
    <w:p>
      <w:pPr>
        <w:jc w:val="center"/>
      </w:pPr>
      <w:r>
        <w:rPr>
          <w:rFonts w:ascii="Golos Text" w:hAnsi="Golos Text"/>
          <w:b/>
          <w:color w:val="05142A"/>
          <w:sz w:val="44"/>
        </w:rPr>
        <w:t>MANUAL DE IDENTIDAD Y ESTRATEGIA DE MARCA</w:t>
      </w:r>
    </w:p>
    <w:p>
      <w:pPr>
        <w:spacing w:after="2400"/>
        <w:jc w:val="center"/>
      </w:pPr>
      <w:r>
        <w:rPr>
          <w:rFonts w:ascii="Golos Text" w:hAnsi="Golos Text"/>
          <w:color w:val="646E78"/>
          <w:sz w:val="24"/>
        </w:rPr>
        <w:t>Guía Oficial de Normas Visuales, Filosofía Corporativa y Lineamientos de Comunicación</w:t>
      </w:r>
    </w:p>
    <w:p>
      <w:pPr>
        <w:jc w:val="center"/>
      </w:pPr>
      <w:r>
        <w:rPr>
          <w:rFonts w:ascii="Golos Text" w:hAnsi="Golos Text"/>
          <w:color w:val="646E78"/>
          <w:sz w:val="19"/>
        </w:rPr>
        <w:t>Guayaquil, Ecuador — Versión 1.0 (2026)</w:t>
        <w:br/>
        <w:t>Documento Institucional Reservado</w:t>
      </w:r>
    </w:p>
    <w:p>
      <w:r>
        <w:br w:type="page"/>
      </w:r>
    </w:p>
    <w:p>
      <w:pPr>
        <w:pStyle w:val="Heading1"/>
      </w:pPr>
      <w:r>
        <w:t>Índice del Manual de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1: Filosofía y Esencia Corporativa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Misión, Visión, Propuesta de Valor, Pilares y Tono de Voz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2: Arquitectura de Identidad Visual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Isologo, Símbolo, Paleta de Colores, Tipografía y Texturas</w:t>
            </w:r>
          </w:p>
        </w:tc>
      </w:tr>
      <w:tr>
        <w:tc>
          <w:tcPr>
            <w:tcW w:type="dxa" w:w="403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3: Portafolio de Áreas de Práctica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Definición de Servicios y Cobertura Jurídica Especializada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4: Herramientas Legales e Innovación Tech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Calculadoras Digitales Abiertas e Inteligencia Artificial</w:t>
            </w:r>
          </w:p>
        </w:tc>
      </w:tr>
      <w:tr>
        <w:tc>
          <w:tcPr>
            <w:tcW w:type="dxa" w:w="403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5: Perfiles del Equipo de Socios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Trayectoria, Estudios y Especialidades del Cuadro Directivo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6: Cultura, Ética y Responsabilidad Social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Estándares Internacionales, Cero Tolerancia y Pro Bono</w:t>
            </w:r>
          </w:p>
        </w:tc>
      </w:tr>
      <w:tr>
        <w:tc>
          <w:tcPr>
            <w:tcW w:type="dxa" w:w="403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7: Aplicaciones de Marca y Canales de Comunicación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Web, Papelería, Redes Sociales y Directorio de Contacto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Sección 8: Gobernanza y Uso Correcto de Marca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9"/>
              </w:rPr>
              <w:t>Matriz de Do's &amp; Don'ts y Políticas de Control Institucional</w:t>
            </w:r>
          </w:p>
        </w:tc>
      </w:tr>
    </w:tbl>
    <w:p>
      <w:pPr>
        <w:spacing w:after="300"/>
      </w:pPr>
    </w:p>
    <w:p>
      <w:pPr>
        <w:pStyle w:val="Heading1"/>
      </w:pPr>
      <w:r>
        <w:t>Sección 1: Filosofía y Esencia Corporativa</w:t>
      </w:r>
    </w:p>
    <w:p>
      <w:r>
        <w:rPr>
          <w:b/>
        </w:rPr>
        <w:t xml:space="preserve">Lisboa Legal Group </w:t>
      </w:r>
      <w:r>
        <w:t>es una firma jurídica de alto prestigio radicada en Guayaquil, Ecuador. Se distingue en el mercado legal por combinar rigor técnico contundente, visión preventiva de riesgos corporativos y el uso pionero de tecnologías avanzadas e inteligencia artificial aplicada al patrocinio legal.</w:t>
      </w:r>
    </w:p>
    <w:p>
      <w:pPr>
        <w:pStyle w:val="Heading2"/>
      </w:pPr>
      <w:r>
        <w:t>1.1 Misión Corporativa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36" w:space="0" w:color="D4AF37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Golos Text" w:hAnsi="Golos Text"/>
                <w:b/>
                <w:color w:val="05142A"/>
                <w:sz w:val="22"/>
              </w:rPr>
              <w:t>MISIÓN DE LISBOA LEGAL GROUP</w:t>
              <w:br/>
            </w:r>
            <w:r>
              <w:rPr>
                <w:rFonts w:ascii="Golos Text" w:hAnsi="Golos Text"/>
                <w:color w:val="1F2937"/>
                <w:sz w:val="21"/>
              </w:rPr>
              <w:t>"Brindar soluciones jurídicas integrales, preventivas y estratégicas que protejan con absoluta excelencia el patrimonio, la reputación y los derechos fundamentales de nuestros clientes, combinando la experiencia técnica de nuestros socios con innovación tecnológica de vanguardia."</w:t>
            </w:r>
          </w:p>
        </w:tc>
      </w:tr>
    </w:tbl>
    <w:p/>
    <w:p>
      <w:pPr>
        <w:pStyle w:val="Heading2"/>
      </w:pPr>
      <w:r>
        <w:t>1.2 Visión Institucional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36" w:space="0" w:color="D4AF37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Golos Text" w:hAnsi="Golos Text"/>
                <w:b/>
                <w:color w:val="05142A"/>
                <w:sz w:val="22"/>
              </w:rPr>
              <w:t>VISIÓN DE LISBOA LEGAL GROUP</w:t>
              <w:br/>
            </w:r>
            <w:r>
              <w:rPr>
                <w:rFonts w:ascii="Golos Text" w:hAnsi="Golos Text"/>
                <w:color w:val="1F2937"/>
                <w:sz w:val="21"/>
              </w:rPr>
              <w:t>"Consolidarnos como el estudio jurídico líder y de mayor referencia en Guayaquil y Ecuador en litigación de alta complejidad, compliance preventivo y estructuración corporativa, siendo reconocidos por nuestro impacto global, estándares éticos inflexibles y la transformación digital de la práctica legal."</w:t>
            </w:r>
          </w:p>
        </w:tc>
      </w:tr>
    </w:tbl>
    <w:p/>
    <w:p>
      <w:pPr>
        <w:pStyle w:val="Heading2"/>
      </w:pPr>
      <w:r>
        <w:t>1.3 Propuesta de Valor Diferenciadora</w:t>
      </w:r>
    </w:p>
    <w:p>
      <w:r>
        <w:t>La propuesta de valor de Lisboa Legal Group se estructura sobre tres ejes fundamentales: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514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Eje Estratégico</w:t>
            </w:r>
          </w:p>
        </w:tc>
        <w:tc>
          <w:tcPr>
            <w:tcW w:type="dxa" w:w="6192"/>
            <w:shd w:val="clear" w:color="auto" w:fill="0514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Descripción y Valor para el Cliente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Excelencia Jurídica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Mantenemos los más altos estándares éticos y profesionales, ofreciendo soluciones técnicas de altísima complejidad con precisión y resultados contundentes en cada caso, asesoría o litigio.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Enfoque Estratégico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Diseñamos estrategias legales a la medida que trascienden el ámbito puramente procesal. Entendemos el negocio y los objetivos de nuestros clientes para mitigar riesgos, maximizar recursos y asegurar victorias clave.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Tecnología Aplicada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Implementamos herramientas digitales propias de cálculo legal, IA avanzada y estrictos protocolos de protección de datos para agilizar el análisis jurisprudencial y optimizar la defensa jurídica.</w:t>
            </w:r>
          </w:p>
        </w:tc>
      </w:tr>
    </w:tbl>
    <w:p>
      <w:pPr>
        <w:spacing w:after="200"/>
      </w:pPr>
    </w:p>
    <w:p>
      <w:pPr>
        <w:pStyle w:val="Heading2"/>
      </w:pPr>
      <w:r>
        <w:t>1.4 Personalidad y Tono de Voz</w:t>
      </w:r>
    </w:p>
    <w:p>
      <w:r>
        <w:t>El tono de voz de Lisboa Legal Group refleja sobriedad, firmeza, autoridad legal y modernidad. Toda pieza publicitaria, documento institucional o comunicación a clientes debe alinearse con estos principios:</w:t>
      </w:r>
    </w:p>
    <w:p>
      <w:pPr>
        <w:pStyle w:val="ListBullet"/>
      </w:pPr>
      <w:r>
        <w:rPr>
          <w:b/>
          <w:color w:val="05142A"/>
        </w:rPr>
        <w:t xml:space="preserve">Riguroso y Sobrio: </w:t>
      </w:r>
      <w:r>
        <w:t>Vocabulario preciso, sin tecnicismos innecesariamente confusos pero manteniendo la elegancia técnica del derecho.</w:t>
      </w:r>
    </w:p>
    <w:p>
      <w:pPr>
        <w:pStyle w:val="ListBullet"/>
      </w:pPr>
      <w:r>
        <w:rPr>
          <w:b/>
          <w:color w:val="05142A"/>
        </w:rPr>
        <w:t xml:space="preserve">Estratégico y Resolutivo: </w:t>
      </w:r>
      <w:r>
        <w:t>Centrado siempre en la solución, la anticipación al conflicto y el blindaje patrimonial.</w:t>
      </w:r>
    </w:p>
    <w:p>
      <w:pPr>
        <w:pStyle w:val="ListBullet"/>
      </w:pPr>
      <w:r>
        <w:rPr>
          <w:b/>
          <w:color w:val="05142A"/>
        </w:rPr>
        <w:t xml:space="preserve">Accesible y Humano: </w:t>
      </w:r>
      <w:r>
        <w:t>Especialmente en materias sensibles como el Derecho de Familia y Sucesiones, demostrando empatía y comprensión profesional.</w:t>
      </w:r>
    </w:p>
    <w:p>
      <w:pPr>
        <w:pStyle w:val="ListBullet"/>
      </w:pPr>
      <w:r>
        <w:rPr>
          <w:b/>
          <w:color w:val="05142A"/>
        </w:rPr>
        <w:t xml:space="preserve">Innovador y Sofisticado: </w:t>
      </w:r>
      <w:r>
        <w:t>Uso de un lenguaje contemporáneo que proyecte liderazgo tecnológico y visión global.</w:t>
      </w:r>
    </w:p>
    <w:p>
      <w:r>
        <w:br w:type="page"/>
      </w:r>
    </w:p>
    <w:p>
      <w:pPr>
        <w:pStyle w:val="Heading1"/>
      </w:pPr>
      <w:r>
        <w:t>Sección 2: Arquitectura de Identidad Visual</w:t>
      </w:r>
    </w:p>
    <w:p>
      <w:pPr>
        <w:pStyle w:val="Heading2"/>
      </w:pPr>
      <w:r>
        <w:t>2.1 Logotipo Principal (Isologo)</w:t>
      </w:r>
    </w:p>
    <w:p>
      <w:r>
        <w:rPr>
          <w:color w:val="1F2937"/>
        </w:rPr>
        <w:t xml:space="preserve">El identificador visual principal de la marca es </w:t>
      </w:r>
      <w:r>
        <w:rPr>
          <w:b/>
        </w:rPr>
        <w:t>logo-full.png</w:t>
      </w:r>
      <w:r>
        <w:t>. Consta del imagotipo estilizado acompañado de la tipografía corporativa institucional. Debe conservarse siempre la proporción de aspecto original sin distorsiones horizontales o verticales.</w:t>
      </w:r>
    </w:p>
    <w:p>
      <w:pPr>
        <w:pStyle w:val="Heading2"/>
      </w:pPr>
      <w:r>
        <w:t>2.2 Paleta Cromática Oficial</w:t>
      </w:r>
    </w:p>
    <w:p>
      <w:r>
        <w:t>La paleta de colores ha sido elegida minuciosamente para transmitir solidez institucional, sofisticación, confianza y prestigio.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Nombre del Color</w:t>
            </w:r>
          </w:p>
        </w:tc>
        <w:tc>
          <w:tcPr>
            <w:tcW w:type="dxa" w:w="187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Muestra Visual</w:t>
            </w:r>
          </w:p>
        </w:tc>
        <w:tc>
          <w:tcPr>
            <w:tcW w:type="dxa" w:w="187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187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RGB</w:t>
            </w:r>
          </w:p>
        </w:tc>
        <w:tc>
          <w:tcPr>
            <w:tcW w:type="dxa" w:w="187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Función en la Marca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Azul Marino Profundo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05142A"/>
          </w:tcPr>
          <w:p/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#05142A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5, 20, 42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 Primario Institucional / Encabezados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Fondo Noche Oscuro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030A15"/>
          </w:tcPr>
          <w:p/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#030A15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3, 10, 21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Fondos de alto contraste y Hero Headers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Dorado Metálico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D4AF37"/>
          </w:tcPr>
          <w:p/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#D4AF37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212, 175, 55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Color de Acento, Elegancia y Botones CTA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Dorado Hover / Sec.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B5952F"/>
          </w:tcPr>
          <w:p/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#B5952F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181, 149, 47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Estados activos e interacciones de usuario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Gris Oscuro Texto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F2937"/>
          </w:tcPr>
          <w:p/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#1F2937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31, 41, 55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Cuerpo de texto y párrafos institucionales</w:t>
            </w:r>
          </w:p>
        </w:tc>
      </w:tr>
    </w:tbl>
    <w:p>
      <w:pPr>
        <w:spacing w:after="200"/>
      </w:pPr>
    </w:p>
    <w:p>
      <w:pPr>
        <w:pStyle w:val="Heading2"/>
      </w:pPr>
      <w:r>
        <w:t>2.3 Sistema Tipográfico</w:t>
      </w:r>
    </w:p>
    <w:p>
      <w:r>
        <w:rPr>
          <w:color w:val="1F2937"/>
        </w:rPr>
        <w:t xml:space="preserve">La tipografía oficial de Lisboa Legal Group es </w:t>
      </w:r>
      <w:r>
        <w:rPr>
          <w:b/>
        </w:rPr>
        <w:t>Golos Text</w:t>
      </w:r>
      <w:r>
        <w:t>, una familia tipográfica de grotesca moderna con una geometría limpia, leibilidad óptima y carácter corporativo contemporáneo.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Variante / Peso</w:t>
            </w:r>
          </w:p>
        </w:tc>
        <w:tc>
          <w:tcPr>
            <w:tcW w:type="dxa" w:w="3120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Tamaño / Uso</w:t>
            </w:r>
          </w:p>
        </w:tc>
        <w:tc>
          <w:tcPr>
            <w:tcW w:type="dxa" w:w="3120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Ejemplo de Aplicación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b/>
                <w:sz w:val="18"/>
              </w:rPr>
              <w:t>Golos Text Bold (700)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sz w:val="18"/>
              </w:rPr>
              <w:t>2.8rem / 28pt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sz w:val="18"/>
              </w:rPr>
              <w:t>Titulares Principales H1 y Hero Headers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b/>
                <w:sz w:val="18"/>
              </w:rPr>
              <w:t>Golos Text Semi-Bold (600)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8"/>
              </w:rPr>
              <w:t>1.4rem - 1.8rem / 14-18pt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8"/>
              </w:rPr>
              <w:t>Subtítulos H2, Nombre de Socios y Botones CTA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b/>
                <w:sz w:val="18"/>
              </w:rPr>
              <w:t>Golos Text Medium (500)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sz w:val="18"/>
              </w:rPr>
              <w:t>1.1rem / 11-12pt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6F9"/>
          </w:tcPr>
          <w:p>
            <w:r>
              <w:rPr>
                <w:sz w:val="18"/>
              </w:rPr>
              <w:t>Destacados, Tarjetas de Servicios e Items de Menú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b/>
                <w:sz w:val="18"/>
              </w:rPr>
              <w:t>Golos Text Regular (400)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8"/>
              </w:rPr>
              <w:t>0.95rem - 1.05rem / 10-10.5pt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8"/>
              </w:rPr>
              <w:t>Cuerpo de texto, descripciones y notas legales</w:t>
            </w:r>
          </w:p>
        </w:tc>
      </w:tr>
    </w:tbl>
    <w:p>
      <w:pPr>
        <w:spacing w:after="200"/>
      </w:pPr>
    </w:p>
    <w:p>
      <w:pPr>
        <w:pStyle w:val="Heading2"/>
      </w:pPr>
      <w:r>
        <w:t>2.4 Texturas y Elementos Gráficos de Marca</w:t>
      </w:r>
    </w:p>
    <w:p>
      <w:pPr>
        <w:pStyle w:val="ListBullet"/>
      </w:pPr>
      <w:r>
        <w:rPr>
          <w:b/>
          <w:color w:val="05142A"/>
        </w:rPr>
        <w:t xml:space="preserve">Textura Mármol Blanco (white-marble.png): </w:t>
      </w:r>
      <w:r>
        <w:t>Utilizada como fondo sutil en secciones institucionales (.bg-marble) para transmitir lujo, nobleza, pulcritud y la solidez del derecho clásico.</w:t>
      </w:r>
    </w:p>
    <w:p>
      <w:pPr>
        <w:pStyle w:val="ListBullet"/>
      </w:pPr>
      <w:r>
        <w:rPr>
          <w:b/>
          <w:color w:val="05142A"/>
        </w:rPr>
        <w:t xml:space="preserve">Línea de Acento Dorada: </w:t>
      </w:r>
      <w:r>
        <w:t>Líneas de 70px de ancho y 3px de alto en color Dorado Metálico (#d4af37) ubicadas debajo de los títulos de sección para jerarquizar la lectura.</w:t>
      </w:r>
    </w:p>
    <w:p>
      <w:pPr>
        <w:pStyle w:val="ListBullet"/>
      </w:pPr>
      <w:r>
        <w:rPr>
          <w:b/>
          <w:color w:val="05142A"/>
        </w:rPr>
        <w:t xml:space="preserve">Glassmorphic Header &amp; Backdrop Blur: </w:t>
      </w:r>
      <w:r>
        <w:t>Uso de transparencias con desenfoque de fondo en cabeceras de navegación (rgba(5, 20, 42, 0.95) con blur de 10px), proyectando modernidad y tecnología.</w:t>
      </w:r>
    </w:p>
    <w:p>
      <w:r>
        <w:br w:type="page"/>
      </w:r>
    </w:p>
    <w:p>
      <w:pPr>
        <w:pStyle w:val="Heading1"/>
      </w:pPr>
      <w:r>
        <w:t>Sección 3: Portafolio de Áreas de Práctica</w:t>
      </w:r>
    </w:p>
    <w:p>
      <w:r>
        <w:t>Lisboa Legal Group ofrece asesoría legal especializada en 10 áreas fundamentales del derecho ecuatoriano e internacional: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Área de Práctica</w:t>
            </w:r>
          </w:p>
        </w:tc>
        <w:tc>
          <w:tcPr>
            <w:tcW w:type="dxa" w:w="619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Alcance del Servicio y Cobertura Legal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1. Derecho Penal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Expertos en litigación penal estratégica con capacidad operativa a nivel nacional e internacional. Ofrecemos soluciones jurídicas de alta complejidad para los sectores público y privado, penal militar y blindaje ante delitos de cuello blanco.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2. Derecho Civil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Especialistas en la protección del patrimonio, obligaciones contractuales y demandas por responsabilidad civil. Gestionamos controversias comerciales y civiles complejas con máxima rigurosidad.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3. Derecho de Familia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Asesoramiento integral e interdisciplinario en procedimientos de divorcio, fijación e incremento de pensiones alimenticias, tenencia compartida y acuerdos prematrimoniales, velando por los derechos de la familia.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4. Derecho Constitucional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Patrocinio de alto nivel en acciones de protección, hábeas corpus, hábeas data y acciones extraordinarias de protección frente a actuaciones u omisiones ilegítimas de autoridades públicas o privadas.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5. Derecho Administrativo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Representación experta ante la Administración Pública. Asesoría en contratación pública (SERCOP), impugnación de actos administrativos, recursos en sede administrativa y defensas en procedimientos sancionadores y coactivos.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6. Corporate Compliance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Diseño, auditoría e implementación de programas de cumplimiento normativo, mapas de riesgo corporativo y sistemas anticorrupción/prevención de lavado de activos para blindar el prestigio de corporaciones nacionales e internacionales.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7. Derecho de Sucesiones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Planificación patrimonial y hereditaria a medida. Asistencia legal en testamentos, particiones de herencia extrajudiciales o judiciales, constitución de fideicomisos y solución de conflictos familiares complejos.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8. Derecho Laboral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Estrategias laborales corporativas en contratación, auditorías de Nómina e IESS, prevención de riesgos patronales, manejo de desvinculaciones estratégicas y representación en litigios laborales individuales o colectivos.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9. Derecho Societario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Estructuración corporativa integral: constitución de compañías, reformas estatutarias, fusiones, escisiones, disoluciones y gobierno corporativo para garantizar la solidez legal del negocio.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10. Consultoría Tributaria &amp; Derecho Procesal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Optimización fiscal preventiva, defensa contencioso-tributaria y manejo de técnicas de litigación en audiencias procesales bajo el Código Orgánico General de Procesos (COGEP).</w:t>
            </w:r>
          </w:p>
        </w:tc>
      </w:tr>
    </w:tbl>
    <w:p>
      <w:pPr>
        <w:spacing w:after="300"/>
      </w:pPr>
    </w:p>
    <w:p>
      <w:pPr>
        <w:pStyle w:val="Heading1"/>
      </w:pPr>
      <w:r>
        <w:t>Sección 4: Herramientas Legales e Innovación Tech</w:t>
      </w:r>
    </w:p>
    <w:p>
      <w:r>
        <w:t>Como parte del compromiso con la modernización de la abogacía, Lisboa Legal Group ha desarrollado e integrado un ecosistema de herramientas digitales abiertas para la ciudadanía y empresas en Ecuador:</w:t>
      </w:r>
    </w:p>
    <w:p>
      <w:pPr>
        <w:pStyle w:val="ListBullet"/>
      </w:pPr>
      <w:r>
        <w:rPr>
          <w:b/>
          <w:color w:val="05142A"/>
        </w:rPr>
        <w:t xml:space="preserve">Calculadora Laboral Automatizada: </w:t>
      </w:r>
      <w:r>
        <w:t>Permite calcular con precisión liquidaciones por despido intempestivo, desahucio, décimos y vacaciones no gozadas conforme al Código del Trabajo ecuatoriano.</w:t>
      </w:r>
    </w:p>
    <w:p>
      <w:pPr>
        <w:pStyle w:val="ListBullet"/>
      </w:pPr>
      <w:r>
        <w:rPr>
          <w:b/>
          <w:color w:val="05142A"/>
        </w:rPr>
        <w:t xml:space="preserve">Calculadora de Plazos Procesales: </w:t>
      </w:r>
      <w:r>
        <w:t>Herramienta automatizada para la determinación exacta de días hábiles, términos y plazos procesales en materias civil, penal, laboral y administrativa bajo la normativa COGEP/COIP.</w:t>
      </w:r>
    </w:p>
    <w:p>
      <w:pPr>
        <w:pStyle w:val="ListBullet"/>
      </w:pPr>
      <w:r>
        <w:rPr>
          <w:b/>
          <w:color w:val="05142A"/>
        </w:rPr>
        <w:t xml:space="preserve">Calculador de Pensiones Jubilares: </w:t>
      </w:r>
      <w:r>
        <w:t>Calcula estimaciones oficiales de jubilación patronal y referencial IESS aplicando las tablas oficiales y coeficientes del año 2026.</w:t>
      </w:r>
    </w:p>
    <w:p>
      <w:pPr>
        <w:pStyle w:val="ListBullet"/>
      </w:pPr>
      <w:r>
        <w:rPr>
          <w:b/>
          <w:color w:val="05142A"/>
        </w:rPr>
        <w:t xml:space="preserve">Calculadora de Pensión de Alimentos: </w:t>
      </w:r>
      <w:r>
        <w:t>Determina los valores oficiales de manutención infantil según la Tabla Nacional de Pensiones Alimenticias 2026 del MIES/SUPA, incorporando prorrateos e incrementos por discapacidad.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left w:val="single" w:sz="36" w:space="0" w:color="D4AF37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Golos Text" w:hAnsi="Golos Text"/>
                <w:b/>
                <w:color w:val="05142A"/>
                <w:sz w:val="22"/>
              </w:rPr>
              <w:t>TECNOLOGÍA APLICADA Y SEGURIDAD</w:t>
              <w:br/>
            </w:r>
            <w:r>
              <w:rPr>
                <w:rFonts w:ascii="Golos Text" w:hAnsi="Golos Text"/>
                <w:color w:val="1F2937"/>
                <w:sz w:val="21"/>
              </w:rPr>
              <w:t>La integración de Inteligencia Artificial aplicada en el análisis previo de jurisprudencia y encriptación de datos sensibles de clientes posiciona a Lisboa Legal Group a la vanguardia de la ciberseguridad y eficiencia legal en la región.</w:t>
            </w:r>
          </w:p>
        </w:tc>
      </w:tr>
    </w:tbl>
    <w:p/>
    <w:p>
      <w:r>
        <w:br w:type="page"/>
      </w:r>
    </w:p>
    <w:p>
      <w:pPr>
        <w:pStyle w:val="Heading1"/>
      </w:pPr>
      <w:r>
        <w:t>Sección 5: Equipo Líder y Perfiles Profesionales</w:t>
      </w:r>
    </w:p>
    <w:p>
      <w:r>
        <w:t>La firma se fundamenta en la solvencia técnica, formación académica de posgrado y reputación intachable de sus socios directores:</w:t>
      </w:r>
    </w:p>
    <w:p>
      <w:pPr>
        <w:pStyle w:val="Heading2"/>
      </w:pPr>
      <w:r>
        <w:t>Daniel Espinoza — Socio Fundador</w:t>
      </w:r>
    </w:p>
    <w:p>
      <w:r>
        <w:t>Especialista Penal Militar y Litigación Estratégica. Lidera las áreas de Derecho Penal y Defensa Técnica en causas de alta complejidad nacional e internacional.</w:t>
      </w:r>
    </w:p>
    <w:p>
      <w:pPr>
        <w:spacing w:after="80"/>
      </w:pPr>
    </w:p>
    <w:p>
      <w:pPr>
        <w:pStyle w:val="Heading2"/>
      </w:pPr>
      <w:r>
        <w:t>Karol Carvajal — Socia Directora</w:t>
      </w:r>
    </w:p>
    <w:p>
      <w:r>
        <w:t>Especialista en Derecho Corporativo y Civil. Encabezó la estructuración de la práctica societaria, contratos mercantiles y la gestión de patrimonio empresarial.</w:t>
      </w:r>
    </w:p>
    <w:p>
      <w:pPr>
        <w:spacing w:after="80"/>
      </w:pPr>
    </w:p>
    <w:p>
      <w:pPr>
        <w:pStyle w:val="Heading2"/>
      </w:pPr>
      <w:r>
        <w:t>Gustavo San Andrés — Socio Director</w:t>
      </w:r>
    </w:p>
    <w:p>
      <w:r>
        <w:t>Abogado de los Tribunales y Juzgados de la República, Magíster en Derecho Constitucional y Mediador Certificado. Cuenta con más de 10 años de trayectoria (desde 2014) atendiendo a Empresas Privadas, Instituciones Públicas y Personas Naturales.</w:t>
      </w:r>
    </w:p>
    <w:p>
      <w:pPr>
        <w:spacing w:after="80"/>
      </w:pPr>
    </w:p>
    <w:p>
      <w:pPr>
        <w:pStyle w:val="Heading1"/>
      </w:pPr>
      <w:r>
        <w:t>Sección 6: Cultura Corporativa, Ética y Pro Bono</w:t>
      </w:r>
    </w:p>
    <w:p>
      <w:pPr>
        <w:pStyle w:val="ListBullet"/>
      </w:pPr>
      <w:r>
        <w:rPr>
          <w:b/>
          <w:color w:val="05142A"/>
        </w:rPr>
        <w:t xml:space="preserve">Certificaciones y Estándares de Calidad: </w:t>
      </w:r>
      <w:r>
        <w:t>Procesos auditados bajo métricas de cumplimiento normativo y excelencia operacional.</w:t>
      </w:r>
    </w:p>
    <w:p>
      <w:pPr>
        <w:pStyle w:val="ListBullet"/>
      </w:pPr>
      <w:r>
        <w:rPr>
          <w:b/>
          <w:color w:val="05142A"/>
        </w:rPr>
        <w:t xml:space="preserve">Política de Tolerancia Cero: </w:t>
      </w:r>
      <w:r>
        <w:t>Estricto protocolo anticorrupción y desestimación inmediata de asuntos que impliquen conflictos de interés.</w:t>
      </w:r>
    </w:p>
    <w:p>
      <w:pPr>
        <w:pStyle w:val="ListBullet"/>
      </w:pPr>
      <w:r>
        <w:rPr>
          <w:b/>
          <w:color w:val="05142A"/>
        </w:rPr>
        <w:t xml:space="preserve">Trabajo Pro Bono y Responsabilidad Social: </w:t>
      </w:r>
      <w:r>
        <w:t>Patrocinio jurídico gratuito en casos seleccionados de alta vulnerabilidad para promover el acceso igualitario a la justicia.</w:t>
      </w:r>
    </w:p>
    <w:p>
      <w:pPr>
        <w:spacing w:after="200"/>
      </w:pPr>
    </w:p>
    <w:p>
      <w:pPr>
        <w:pStyle w:val="Heading1"/>
      </w:pPr>
      <w:r>
        <w:t>Sección 7: Aplicaciones de Marca y Contacto Oficial</w:t>
      </w:r>
    </w:p>
    <w:p>
      <w:pPr>
        <w:pStyle w:val="Heading2"/>
      </w:pPr>
      <w:r>
        <w:t>7.1 Canales Digitales y Presencia de Marca</w:t>
      </w:r>
    </w:p>
    <w:p>
      <w:r>
        <w:t>Toda plataforma o perfil oficial de Lisboa Legal Group debe mantener coherencia visual estricta con los parámetros de este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Canal / Plataforma</w:t>
            </w:r>
          </w:p>
        </w:tc>
        <w:tc>
          <w:tcPr>
            <w:tcW w:type="dxa" w:w="6192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Detalle Oficial de Contacto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Sede Matriz Guayaquil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Edificio Finansa, Vélez 220 entre Chile y Chimborazo, Guayaquil - Ecuador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Teléfono Directo / WhatsApp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(+593) 9 90967952 / 0990967952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Correo Electrónico Oficial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lisboalegalgroup@gmail.com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Página Web Institucional</w:t>
            </w:r>
          </w:p>
        </w:tc>
        <w:tc>
          <w:tcPr>
            <w:tcW w:type="dxa" w:w="61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https://lisboalegalgroup.github.io/legal/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142A"/>
                <w:sz w:val="19"/>
              </w:rPr>
              <w:t>Redes Sociales Oficiales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Facebook (@lisboalegalgroup), Instagram (@lisboalegalgroup), LinkedIn (lisboa-legal-group)</w:t>
            </w:r>
          </w:p>
        </w:tc>
      </w:tr>
    </w:tbl>
    <w:p>
      <w:pPr>
        <w:spacing w:after="300"/>
      </w:pPr>
    </w:p>
    <w:p>
      <w:pPr>
        <w:pStyle w:val="Heading1"/>
      </w:pPr>
      <w:r>
        <w:t>Sección 8: Matriz de Gobernanza y Usos Prohibidos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Usos Permitidos (DO'S)</w:t>
            </w:r>
          </w:p>
        </w:tc>
        <w:tc>
          <w:tcPr>
            <w:tcW w:type="dxa" w:w="4680"/>
            <w:shd w:val="clear" w:color="auto" w:fill="0514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Usos Prohibidos (DON'TS)</w:t>
            </w:r>
          </w:p>
        </w:tc>
      </w:tr>
      <w:tr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07C41"/>
                <w:sz w:val="18"/>
              </w:rPr>
              <w:t>✓  Usar el logo sobre fondos en contraste alto (Azul Marino #05142a o Blanco #FFFFFF).</w:t>
            </w:r>
          </w:p>
        </w:tc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42828"/>
                <w:sz w:val="18"/>
              </w:rPr>
              <w:t>✗  No estirar, comprimir ni deformar las proporciones originales del logo.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07C41"/>
                <w:sz w:val="18"/>
              </w:rPr>
              <w:t>✓  Respetar la paleta de colores oficial HEX y los pesos tipográficos de Golos Text.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42828"/>
                <w:sz w:val="18"/>
              </w:rPr>
              <w:t>✗  No alterar los colores corporativos usando tonos dorados brillantes o azules eléctricos desalineados.</w:t>
            </w:r>
          </w:p>
        </w:tc>
      </w:tr>
      <w:tr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07C41"/>
                <w:sz w:val="18"/>
              </w:rPr>
              <w:t>✓  Mantener el tono de voz profesional, preventivo y tecnológicamente vanguardista.</w:t>
            </w:r>
          </w:p>
        </w:tc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42828"/>
                <w:sz w:val="18"/>
              </w:rPr>
              <w:t>✗  No usar lenguaje informal desproporcionado o impreciso en publicaciones legales.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07C41"/>
                <w:sz w:val="18"/>
              </w:rPr>
              <w:t>✓  Utilizar los elementos visuales aprobados como la textura de mármol y barras doradas.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B42828"/>
                <w:sz w:val="18"/>
              </w:rPr>
              <w:t>✗  No saturar las piezas gráficas con sombras excesivas, bordes multicolores o imágenes de baja calidad.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646E78"/>
          <w:sz w:val="18"/>
        </w:rPr>
        <w:t>© 2026 Lisboa Legal Group. Todos los derechos reservados.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Golos Text" w:hAnsi="Golos Text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olos Text" w:hAnsi="Golos Text"/>
      <w:b/>
      <w:bCs/>
      <w:color w:val="0514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olos Text" w:hAnsi="Golos Text"/>
      <w:b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olos Text" w:hAnsi="Golos Text"/>
      <w:b/>
      <w:bCs/>
      <w:color w:val="05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