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F63B8" w14:textId="5B869A6C" w:rsidR="00C45B04" w:rsidRPr="00C45B04" w:rsidRDefault="00C45B04" w:rsidP="00C45B04">
      <w:pPr>
        <w:ind w:firstLine="851"/>
        <w:jc w:val="both"/>
        <w:rPr>
          <w:rFonts w:ascii="Arial" w:hAnsi="Arial" w:cs="Arial"/>
          <w:b/>
          <w:bCs/>
          <w:sz w:val="24"/>
          <w:szCs w:val="24"/>
        </w:rPr>
      </w:pPr>
      <w:r w:rsidRPr="00C45B04">
        <w:rPr>
          <w:b/>
          <w:bCs/>
          <w:color w:val="000000"/>
          <w:sz w:val="27"/>
          <w:szCs w:val="27"/>
        </w:rPr>
        <w:t>1. Comentar o texto com base nos vídeos apresentados em aula: CORTELLA, CLOVIS DE BARROS FILHO, KONDE E KARNAL.</w:t>
      </w:r>
    </w:p>
    <w:p w14:paraId="0311A00B" w14:textId="29E512CF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sz w:val="24"/>
          <w:szCs w:val="24"/>
        </w:rPr>
        <w:t xml:space="preserve">De acordo com filósofos, a Ética é um conjunto de princípios que norteiam o comportamento das pessoas, apoiando-as nas soluções dos dilemas humanos e estabelecendo limites entre o poder, o querer e o dever. Por sua vez, a ética profissional está relacionada ao conjunto de normas, modo de agir (a conduta) e os valores que orientam as atividades e o comportamento de um profissional. </w:t>
      </w:r>
    </w:p>
    <w:p w14:paraId="59826B29" w14:textId="2872112B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sz w:val="24"/>
          <w:szCs w:val="24"/>
        </w:rPr>
        <w:t>A adoção de uma conduta ética é benéfica ao colaborador, pois trará mais credibilidade às suas ações perante os seus colegas e, sobretudo, aos seus superiores. Paralelamente, contribui para o fortalecimento da organização, melhorando os processos internos, aumentando a produtividade, o cumprimento (ou superação) do plano de metas, melhorando o desenvolvimento organizacional.</w:t>
      </w:r>
    </w:p>
    <w:p w14:paraId="29B4F520" w14:textId="73AA2C32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sz w:val="24"/>
          <w:szCs w:val="24"/>
        </w:rPr>
        <w:t xml:space="preserve">Apesar de ética nem sempre tratar de um conjunto de leis ou normas formais obrigatórias, no que concerne à ética profissional, as circunstâncias são diferentes. No âmbito profissional, é predominante a adoção de códigos de conduta, regimentos ou estatutos, que geralmente são criados por conselhos de representação de classe, os quais também tem o condão de aplicá-los e fiscalizá-los. </w:t>
      </w:r>
    </w:p>
    <w:p w14:paraId="2D2CAC41" w14:textId="77777777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sz w:val="24"/>
          <w:szCs w:val="24"/>
        </w:rPr>
        <w:t>O código de ética opera padronizando o exercício de uma determinada profissão e as condutas a serem seguidas pelos profissionais que a exercem, garantindo a segurança destes e daqueles que podem ser afetados por sua atuação; há ainda a sujeição de punições ou sanções àqueles profissionais que transgredirem alguma de suas normas.</w:t>
      </w:r>
    </w:p>
    <w:p w14:paraId="13985D25" w14:textId="3F6B2729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sz w:val="24"/>
          <w:szCs w:val="24"/>
        </w:rPr>
        <w:t>No que tange ao âmbito organizacional, faz-se necessário a adoção de um código de ética próprio, que oriente as ações dos profissionais que atuam na empresa. O Código de Conduta organizacional, como é conhecido, é o responsável por garantir a boa execução dos processos de trabalho dentro da empresa, auxiliar no alcance dos objetivos estratégicos, além de alinhar a atuação dos colaboradores à postura organizacional.</w:t>
      </w:r>
    </w:p>
    <w:p w14:paraId="015A8E18" w14:textId="55DF0DE1" w:rsidR="00DC0F6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sz w:val="24"/>
          <w:szCs w:val="24"/>
        </w:rPr>
        <w:t>Por fim, a adoção de um código ética, além dos benefícios elencados pode vir a se tornar até uma vantagem competitiva. Pois pode vir a dirimir quaisquer chances de fraudes, assédios, desvios de conduta ou até mesmo escândalos. O estabelecimento de uma cultura organizacional justa torna o ambiente mais saudável e produtivo.</w:t>
      </w:r>
    </w:p>
    <w:p w14:paraId="6924591C" w14:textId="53471FA9" w:rsid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6A967660" w14:textId="294834DE" w:rsid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5220E304" w14:textId="52B1FD66" w:rsid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11530FF1" w14:textId="3A975AE1" w:rsid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5B864AC5" w14:textId="6EB4FCE7" w:rsidR="00C45B04" w:rsidRPr="00C45B04" w:rsidRDefault="00C45B04" w:rsidP="00C45B04">
      <w:pPr>
        <w:ind w:firstLine="851"/>
        <w:jc w:val="both"/>
        <w:rPr>
          <w:rFonts w:ascii="Arial" w:hAnsi="Arial" w:cs="Arial"/>
          <w:b/>
          <w:bCs/>
          <w:sz w:val="24"/>
          <w:szCs w:val="24"/>
        </w:rPr>
      </w:pPr>
      <w:r w:rsidRPr="00C45B04">
        <w:rPr>
          <w:b/>
          <w:bCs/>
          <w:color w:val="000000"/>
          <w:sz w:val="27"/>
          <w:szCs w:val="27"/>
        </w:rPr>
        <w:lastRenderedPageBreak/>
        <w:t>2. Definir tributo, imposto, taxa, contribuição por melhoria de obra pública</w:t>
      </w:r>
    </w:p>
    <w:p w14:paraId="542B8A2E" w14:textId="4DE7DE47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b/>
          <w:bCs/>
          <w:sz w:val="24"/>
          <w:szCs w:val="24"/>
        </w:rPr>
        <w:t>Tributo</w:t>
      </w:r>
      <w:r w:rsidRPr="00C45B04">
        <w:rPr>
          <w:rFonts w:ascii="Arial" w:hAnsi="Arial" w:cs="Arial"/>
          <w:sz w:val="24"/>
          <w:szCs w:val="24"/>
        </w:rPr>
        <w:t xml:space="preserve"> é uma prestação obrigatória (pagamento) em moeda ou que dela se possa exprimir, cujo valor pode ser convertido em Reais; é cobrado pelo estado e instituído em lei, mediante atividade administrativa vinculada.</w:t>
      </w:r>
    </w:p>
    <w:p w14:paraId="2560E067" w14:textId="77777777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108D9328" w14:textId="20BD0961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b/>
          <w:bCs/>
          <w:sz w:val="24"/>
          <w:szCs w:val="24"/>
        </w:rPr>
        <w:t>Imposto</w:t>
      </w:r>
      <w:r w:rsidRPr="00C45B04">
        <w:rPr>
          <w:rFonts w:ascii="Arial" w:hAnsi="Arial" w:cs="Arial"/>
          <w:sz w:val="24"/>
          <w:szCs w:val="24"/>
        </w:rPr>
        <w:t xml:space="preserve"> é um tipo de tributação, que tem como fato gerador uma situação relativa ao contribuinte; geralmente possuem faixas de incidência, as chamadas alíquotas e é recolhido para financiar o Estado e suas atividade de modo geral.</w:t>
      </w:r>
    </w:p>
    <w:p w14:paraId="6A1E25F2" w14:textId="77777777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21A2AE13" w14:textId="77777777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b/>
          <w:bCs/>
          <w:sz w:val="24"/>
          <w:szCs w:val="24"/>
        </w:rPr>
        <w:t>Taxa</w:t>
      </w:r>
      <w:r w:rsidRPr="00C45B04">
        <w:rPr>
          <w:rFonts w:ascii="Arial" w:hAnsi="Arial" w:cs="Arial"/>
          <w:sz w:val="24"/>
          <w:szCs w:val="24"/>
        </w:rPr>
        <w:t xml:space="preserve"> é outro tributo cuja cobrança tem como fato gerador o poder de polícia do estado, com objetivo de financiar um determinado serviço público que o contribuinte possa utilizar ou que venha ser posto a sua disposição.</w:t>
      </w:r>
    </w:p>
    <w:p w14:paraId="78FCDDB9" w14:textId="77777777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482A9DDE" w14:textId="62705639" w:rsid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45B04">
        <w:rPr>
          <w:rFonts w:ascii="Arial" w:hAnsi="Arial" w:cs="Arial"/>
          <w:b/>
          <w:bCs/>
          <w:sz w:val="24"/>
          <w:szCs w:val="24"/>
        </w:rPr>
        <w:t>Taxa de contribuição por melhoria de obra pública</w:t>
      </w:r>
      <w:r w:rsidRPr="00C45B04">
        <w:rPr>
          <w:rFonts w:ascii="Arial" w:hAnsi="Arial" w:cs="Arial"/>
          <w:sz w:val="24"/>
          <w:szCs w:val="24"/>
        </w:rPr>
        <w:t xml:space="preserve"> é uma cobrança feita pelo poder público com o intuito de cobrir os custos de obras públicas de que decorra a valorização imobiliária. Para isto, realiza-se um cálculo para medir o impacto da valorização em razão melhoria.</w:t>
      </w:r>
    </w:p>
    <w:p w14:paraId="0AA8AF5D" w14:textId="045C306C" w:rsidR="00771A76" w:rsidRDefault="00771A76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5FBA4419" w14:textId="07D35B03" w:rsidR="00771A76" w:rsidRDefault="00771A76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52573318" w14:textId="1F2EF4A9" w:rsidR="00771A76" w:rsidRPr="009E6D6A" w:rsidRDefault="00771A76" w:rsidP="00C45B04">
      <w:pPr>
        <w:ind w:firstLine="851"/>
        <w:jc w:val="both"/>
        <w:rPr>
          <w:rFonts w:ascii="Arial" w:hAnsi="Arial" w:cs="Arial"/>
          <w:b/>
          <w:bCs/>
          <w:sz w:val="24"/>
          <w:szCs w:val="24"/>
        </w:rPr>
      </w:pPr>
      <w:r w:rsidRPr="009E6D6A">
        <w:rPr>
          <w:rFonts w:ascii="Arial" w:hAnsi="Arial" w:cs="Arial"/>
          <w:b/>
          <w:bCs/>
          <w:sz w:val="24"/>
          <w:szCs w:val="24"/>
        </w:rPr>
        <w:t>3. Comentar os limites ao poder de tributar art. 150 CF/88.</w:t>
      </w:r>
    </w:p>
    <w:p w14:paraId="676CB655" w14:textId="509BCAE5" w:rsidR="00771A76" w:rsidRDefault="00771A76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03C3A23D" w14:textId="7633D7E3" w:rsidR="00771A76" w:rsidRDefault="00771A76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limites ao poder de tributar está ligado às liberdade</w:t>
      </w:r>
      <w:r w:rsidR="00DE2BC9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negativas do poder do Estado</w:t>
      </w:r>
      <w:r w:rsidR="00007FEA">
        <w:rPr>
          <w:rFonts w:ascii="Arial" w:hAnsi="Arial" w:cs="Arial"/>
          <w:sz w:val="24"/>
          <w:szCs w:val="24"/>
        </w:rPr>
        <w:t>,</w:t>
      </w:r>
      <w:r w:rsidR="001C4F2F">
        <w:rPr>
          <w:rFonts w:ascii="Arial" w:hAnsi="Arial" w:cs="Arial"/>
          <w:sz w:val="24"/>
          <w:szCs w:val="24"/>
        </w:rPr>
        <w:t xml:space="preserve"> para não exceder na atuação tributária,</w:t>
      </w:r>
      <w:r w:rsidR="00007FEA">
        <w:rPr>
          <w:rFonts w:ascii="Arial" w:hAnsi="Arial" w:cs="Arial"/>
          <w:sz w:val="24"/>
          <w:szCs w:val="24"/>
        </w:rPr>
        <w:t xml:space="preserve"> </w:t>
      </w:r>
      <w:r w:rsidR="001C4F2F">
        <w:rPr>
          <w:rFonts w:ascii="Arial" w:hAnsi="Arial" w:cs="Arial"/>
          <w:sz w:val="24"/>
          <w:szCs w:val="24"/>
        </w:rPr>
        <w:t xml:space="preserve">não restringindo o transporte de pessoas e produtos, mediante o pagamento de tributos, </w:t>
      </w:r>
      <w:r w:rsidR="00007FEA">
        <w:rPr>
          <w:rFonts w:ascii="Arial" w:hAnsi="Arial" w:cs="Arial"/>
          <w:sz w:val="24"/>
          <w:szCs w:val="24"/>
        </w:rPr>
        <w:t>além de definir algumas circunstâncias em que há a imunidade tributária, ou seja, a Constituição estabelece mecanismos que permite a determinadas classes o não pagamento de tributos.</w:t>
      </w:r>
    </w:p>
    <w:p w14:paraId="7887078E" w14:textId="067D2836" w:rsidR="00007FEA" w:rsidRDefault="00007FEA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art. 50 </w:t>
      </w:r>
      <w:r w:rsidR="0095472B"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 xml:space="preserve">inicia </w:t>
      </w:r>
      <w:r w:rsidR="001C4F2F">
        <w:rPr>
          <w:rFonts w:ascii="Arial" w:hAnsi="Arial" w:cs="Arial"/>
          <w:sz w:val="24"/>
          <w:szCs w:val="24"/>
        </w:rPr>
        <w:t>com base</w:t>
      </w:r>
      <w:r w:rsidR="0095472B">
        <w:rPr>
          <w:rFonts w:ascii="Arial" w:hAnsi="Arial" w:cs="Arial"/>
          <w:sz w:val="24"/>
          <w:szCs w:val="24"/>
        </w:rPr>
        <w:t xml:space="preserve"> no princípio da legalidade ao estabelecer que a criação ou majoração de um tributo está vinculada a existência de lei que o defina. </w:t>
      </w:r>
      <w:r w:rsidR="001C4F2F">
        <w:rPr>
          <w:rFonts w:ascii="Arial" w:hAnsi="Arial" w:cs="Arial"/>
          <w:sz w:val="24"/>
          <w:szCs w:val="24"/>
        </w:rPr>
        <w:t>Após isso</w:t>
      </w:r>
      <w:r w:rsidR="0095472B">
        <w:rPr>
          <w:rFonts w:ascii="Arial" w:hAnsi="Arial" w:cs="Arial"/>
          <w:sz w:val="24"/>
          <w:szCs w:val="24"/>
        </w:rPr>
        <w:t xml:space="preserve">, </w:t>
      </w:r>
      <w:r w:rsidR="001C4F2F">
        <w:rPr>
          <w:rFonts w:ascii="Arial" w:hAnsi="Arial" w:cs="Arial"/>
          <w:sz w:val="24"/>
          <w:szCs w:val="24"/>
        </w:rPr>
        <w:t>aborda</w:t>
      </w:r>
      <w:r w:rsidR="0095472B">
        <w:rPr>
          <w:rFonts w:ascii="Arial" w:hAnsi="Arial" w:cs="Arial"/>
          <w:sz w:val="24"/>
          <w:szCs w:val="24"/>
        </w:rPr>
        <w:t xml:space="preserve"> o princípio da isonomia, pois não haverá tratamento tributário diferenciado aos contribuintes</w:t>
      </w:r>
      <w:r w:rsidR="001C4F2F">
        <w:rPr>
          <w:rFonts w:ascii="Arial" w:hAnsi="Arial" w:cs="Arial"/>
          <w:sz w:val="24"/>
          <w:szCs w:val="24"/>
        </w:rPr>
        <w:t>, que estejam em situação análoga</w:t>
      </w:r>
      <w:r w:rsidR="0095472B">
        <w:rPr>
          <w:rFonts w:ascii="Arial" w:hAnsi="Arial" w:cs="Arial"/>
          <w:sz w:val="24"/>
          <w:szCs w:val="24"/>
        </w:rPr>
        <w:t>, assim com o pagamento de tributos não usado para confiscar os bens do inadimplente.</w:t>
      </w:r>
    </w:p>
    <w:p w14:paraId="66821E30" w14:textId="0DFA4004" w:rsidR="0095472B" w:rsidRDefault="0095472B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fim, traz </w:t>
      </w:r>
      <w:r w:rsidR="00C220F5">
        <w:rPr>
          <w:rFonts w:ascii="Arial" w:hAnsi="Arial" w:cs="Arial"/>
          <w:sz w:val="24"/>
          <w:szCs w:val="24"/>
        </w:rPr>
        <w:t xml:space="preserve">o conceito de imunidade tributária a determinadas entidades de classes, sindicatos, associações e templos de qualquer culto. Pois o legislador entende que ao fornecerem atividades de natureza assistencial como </w:t>
      </w:r>
      <w:r w:rsidR="00C220F5">
        <w:rPr>
          <w:rFonts w:ascii="Arial" w:hAnsi="Arial" w:cs="Arial"/>
          <w:sz w:val="24"/>
          <w:szCs w:val="24"/>
        </w:rPr>
        <w:lastRenderedPageBreak/>
        <w:t xml:space="preserve">saúde e educação, tais entes jurídicos, </w:t>
      </w:r>
      <w:r w:rsidR="009E6D6A">
        <w:rPr>
          <w:rFonts w:ascii="Arial" w:hAnsi="Arial" w:cs="Arial"/>
          <w:sz w:val="24"/>
          <w:szCs w:val="24"/>
        </w:rPr>
        <w:t>que tem como</w:t>
      </w:r>
      <w:r w:rsidR="00C220F5">
        <w:rPr>
          <w:rFonts w:ascii="Arial" w:hAnsi="Arial" w:cs="Arial"/>
          <w:sz w:val="24"/>
          <w:szCs w:val="24"/>
        </w:rPr>
        <w:t xml:space="preserve"> objetivo não seja auferir lucro, estão contribuindo para o </w:t>
      </w:r>
      <w:r w:rsidR="001C4F2F">
        <w:rPr>
          <w:rFonts w:ascii="Arial" w:hAnsi="Arial" w:cs="Arial"/>
          <w:sz w:val="24"/>
          <w:szCs w:val="24"/>
        </w:rPr>
        <w:t>bem-estar</w:t>
      </w:r>
      <w:r w:rsidR="00C220F5">
        <w:rPr>
          <w:rFonts w:ascii="Arial" w:hAnsi="Arial" w:cs="Arial"/>
          <w:sz w:val="24"/>
          <w:szCs w:val="24"/>
        </w:rPr>
        <w:t xml:space="preserve"> da comunidade. </w:t>
      </w:r>
    </w:p>
    <w:p w14:paraId="3A293CB0" w14:textId="5B0A01BB" w:rsidR="00771A76" w:rsidRDefault="00771A76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29F13BF3" w14:textId="2695AB07" w:rsidR="00771A76" w:rsidRDefault="00771A76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56CEE589" w14:textId="0C6F21CA" w:rsidR="00771A76" w:rsidRPr="002140E6" w:rsidRDefault="00771A76" w:rsidP="00C45B04">
      <w:pPr>
        <w:ind w:firstLine="851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140E6">
        <w:rPr>
          <w:rFonts w:ascii="Arial" w:hAnsi="Arial" w:cs="Arial"/>
          <w:b/>
          <w:bCs/>
          <w:color w:val="000000"/>
          <w:sz w:val="24"/>
          <w:szCs w:val="24"/>
        </w:rPr>
        <w:t>4. COMENTAR O ARTIGO 6º DA LEI 8078 11/09/1990 todos os incisos</w:t>
      </w:r>
      <w:r w:rsidR="00DE2BC9" w:rsidRPr="002140E6">
        <w:rPr>
          <w:rFonts w:ascii="Arial" w:hAnsi="Arial" w:cs="Arial"/>
          <w:b/>
          <w:bCs/>
          <w:color w:val="000000"/>
          <w:sz w:val="24"/>
          <w:szCs w:val="24"/>
        </w:rPr>
        <w:t>:</w:t>
      </w:r>
    </w:p>
    <w:p w14:paraId="1E6FFF3A" w14:textId="56E80B31" w:rsidR="00DE2BC9" w:rsidRDefault="00DE2BC9" w:rsidP="00C45B04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 – Este inciso traz a ideia principal de que o usufruto de um produto ou serviço não deve ser nocivo à vida ou saúde do consumidor. Ex: Pessoas que venham a passar mal após a ingestão de um </w:t>
      </w:r>
      <w:r w:rsidR="00350B8E">
        <w:rPr>
          <w:rFonts w:ascii="Arial" w:hAnsi="Arial" w:cs="Arial"/>
          <w:color w:val="000000"/>
          <w:sz w:val="24"/>
          <w:szCs w:val="24"/>
        </w:rPr>
        <w:t>alimento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350B8E">
        <w:rPr>
          <w:rFonts w:ascii="Arial" w:hAnsi="Arial" w:cs="Arial"/>
          <w:color w:val="000000"/>
          <w:sz w:val="24"/>
          <w:szCs w:val="24"/>
        </w:rPr>
        <w:t>estragado</w:t>
      </w:r>
    </w:p>
    <w:p w14:paraId="641A1471" w14:textId="5A94E0BA" w:rsidR="00DE2BC9" w:rsidRDefault="00DE2BC9" w:rsidP="00C45B04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II – Este inciso parte do conceito que os produtos ou serviços devem fornecer informações acerca d</w:t>
      </w:r>
      <w:r w:rsidR="00350B8E">
        <w:rPr>
          <w:rFonts w:ascii="Arial" w:hAnsi="Arial" w:cs="Arial"/>
          <w:color w:val="000000"/>
          <w:sz w:val="24"/>
          <w:szCs w:val="24"/>
        </w:rPr>
        <w:t xml:space="preserve">a relação de consumo, a fim de se evitar </w:t>
      </w:r>
      <w:r w:rsidR="0096598F">
        <w:rPr>
          <w:rFonts w:ascii="Arial" w:hAnsi="Arial" w:cs="Arial"/>
          <w:color w:val="000000"/>
          <w:sz w:val="24"/>
          <w:szCs w:val="24"/>
        </w:rPr>
        <w:t>o consumismo</w:t>
      </w:r>
    </w:p>
    <w:p w14:paraId="1C7E215B" w14:textId="564CA1B7" w:rsidR="0096598F" w:rsidRDefault="0096598F" w:rsidP="00C45B04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III – O objetivo deste inciso é abordar a questão da informação clara do produto ou serviço para que o consumidor tenha conhecimento daquilo que está adquirindo ou consumindo. Ex: preço e qualidade de um produto ou se este contém alguma substância que pode afetar alguma condição pré-existente do consumidor, como alergia a determinada substância.</w:t>
      </w:r>
    </w:p>
    <w:p w14:paraId="55C71CE4" w14:textId="469C9146" w:rsidR="006A40AF" w:rsidRPr="006A40AF" w:rsidRDefault="006A40AF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 w:rsidRPr="006A40AF">
        <w:rPr>
          <w:rFonts w:ascii="Arial" w:hAnsi="Arial" w:cs="Arial"/>
          <w:color w:val="000000"/>
          <w:sz w:val="24"/>
          <w:szCs w:val="24"/>
        </w:rPr>
        <w:t>IV –. O objetivo deste inciso é abordar a vedação a quaisquer formas de publicidade que possam vir a prejudicar o consumidor enganando-o, assim como práticas comerciais abusivas ou condições comerciais danosas impostas ao consumidor.</w:t>
      </w:r>
    </w:p>
    <w:p w14:paraId="52AC2D25" w14:textId="7F7E0D68" w:rsidR="006A40AF" w:rsidRPr="006A40AF" w:rsidRDefault="006A40AF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 w:rsidRPr="006A40AF">
        <w:rPr>
          <w:rFonts w:ascii="Arial" w:hAnsi="Arial" w:cs="Arial"/>
          <w:color w:val="000000"/>
          <w:sz w:val="24"/>
          <w:szCs w:val="24"/>
        </w:rPr>
        <w:t>V – A ideia deste inciso é trazer o direito ao consumidor de modificação de contratos ou revisão de condições desfavoráveis ou onerosas para ele impostas pelo fornecedor de maneira arbitrária</w:t>
      </w:r>
    </w:p>
    <w:p w14:paraId="591C2D21" w14:textId="65FA2C16" w:rsidR="0096598F" w:rsidRDefault="006A40AF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 w:rsidRPr="006A40AF">
        <w:rPr>
          <w:rFonts w:ascii="Arial" w:hAnsi="Arial" w:cs="Arial"/>
          <w:color w:val="000000"/>
          <w:sz w:val="24"/>
          <w:szCs w:val="24"/>
        </w:rPr>
        <w:t xml:space="preserve">VI – </w:t>
      </w:r>
      <w:r>
        <w:rPr>
          <w:rFonts w:ascii="Arial" w:hAnsi="Arial" w:cs="Arial"/>
          <w:color w:val="000000"/>
          <w:sz w:val="24"/>
          <w:szCs w:val="24"/>
        </w:rPr>
        <w:t xml:space="preserve">Este inciso garante o direito de reparo </w:t>
      </w:r>
      <w:r w:rsidR="002140E6">
        <w:rPr>
          <w:rFonts w:ascii="Arial" w:hAnsi="Arial" w:cs="Arial"/>
          <w:color w:val="000000"/>
          <w:sz w:val="24"/>
          <w:szCs w:val="24"/>
        </w:rPr>
        <w:t>em razão de danos causados no consumo de produtos assim como na prevenção, ou seja, reforça a ideia do primeiro inciso e serve como orientação a consumidores e fornecedores</w:t>
      </w:r>
    </w:p>
    <w:p w14:paraId="497A4652" w14:textId="3BB40DF9" w:rsidR="002140E6" w:rsidRDefault="002140E6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VII – Neste inciso, </w:t>
      </w:r>
      <w:r w:rsidR="00814277">
        <w:rPr>
          <w:rFonts w:ascii="Arial" w:hAnsi="Arial" w:cs="Arial"/>
          <w:color w:val="000000"/>
          <w:sz w:val="24"/>
          <w:szCs w:val="24"/>
        </w:rPr>
        <w:t>há um desdobramento do anterior na medida em que preconiza o acesso aos órgãos judiciários e competentes para analisar e julgar eventuais disputas na relação de consumo para as partes envolvidas</w:t>
      </w:r>
    </w:p>
    <w:p w14:paraId="0588E493" w14:textId="5303563B" w:rsidR="00814277" w:rsidRDefault="00814277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VIII – O objetivo deste inciso é abordar a questão da inversão do ônus da prova, neste caso, caberá ao acusado (geralmente, o fornecer) provar que quem o acusa (o consumidor) está equivocado.</w:t>
      </w:r>
    </w:p>
    <w:p w14:paraId="420FF5F1" w14:textId="302380FF" w:rsidR="00814277" w:rsidRDefault="00814277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IX –</w:t>
      </w:r>
      <w:r w:rsidR="0033059E">
        <w:rPr>
          <w:rFonts w:ascii="Arial" w:hAnsi="Arial" w:cs="Arial"/>
          <w:color w:val="000000"/>
          <w:sz w:val="24"/>
          <w:szCs w:val="24"/>
        </w:rPr>
        <w:t>. Este inciso, por sua vez</w:t>
      </w:r>
      <w:r w:rsidR="00536C09">
        <w:rPr>
          <w:rFonts w:ascii="Arial" w:hAnsi="Arial" w:cs="Arial"/>
          <w:color w:val="000000"/>
          <w:sz w:val="24"/>
          <w:szCs w:val="24"/>
        </w:rPr>
        <w:t>,</w:t>
      </w:r>
      <w:r w:rsidR="0033059E">
        <w:rPr>
          <w:rFonts w:ascii="Arial" w:hAnsi="Arial" w:cs="Arial"/>
          <w:color w:val="000000"/>
          <w:sz w:val="24"/>
          <w:szCs w:val="24"/>
        </w:rPr>
        <w:t xml:space="preserve"> </w:t>
      </w:r>
      <w:r w:rsidR="00536C09">
        <w:rPr>
          <w:rFonts w:ascii="Arial" w:hAnsi="Arial" w:cs="Arial"/>
          <w:color w:val="000000"/>
          <w:sz w:val="24"/>
          <w:szCs w:val="24"/>
        </w:rPr>
        <w:t>enfatiza a prestação dos serviços com qualidade, cujo enfoque é direcionado ao poder público e suas prestadoras de serviço.</w:t>
      </w:r>
    </w:p>
    <w:p w14:paraId="14E3DB5A" w14:textId="5D188862" w:rsidR="0033059E" w:rsidRDefault="0033059E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XI – </w:t>
      </w:r>
      <w:r>
        <w:rPr>
          <w:rFonts w:ascii="Arial" w:hAnsi="Arial" w:cs="Arial"/>
          <w:color w:val="000000"/>
          <w:sz w:val="24"/>
          <w:szCs w:val="24"/>
        </w:rPr>
        <w:t xml:space="preserve">Neste inciso, a abordagem gira ao redor das práticas de boas relações de consumo, tanto no que tange à educação financeira, visando evitar o superendividamento, que prejudica a todos e inviabilizam a continuidade da </w:t>
      </w:r>
      <w:r>
        <w:rPr>
          <w:rFonts w:ascii="Arial" w:hAnsi="Arial" w:cs="Arial"/>
          <w:color w:val="000000"/>
          <w:sz w:val="24"/>
          <w:szCs w:val="24"/>
        </w:rPr>
        <w:lastRenderedPageBreak/>
        <w:t>relação do consumo; quanto em buscar mecanismos que apoiem o adimplemento de dívidas causadas por atitudes de consumo equivocadas</w:t>
      </w:r>
      <w:r>
        <w:rPr>
          <w:rFonts w:ascii="Arial" w:hAnsi="Arial" w:cs="Arial"/>
          <w:color w:val="000000"/>
          <w:sz w:val="24"/>
          <w:szCs w:val="24"/>
        </w:rPr>
        <w:t xml:space="preserve">. </w:t>
      </w:r>
    </w:p>
    <w:p w14:paraId="1134F7F6" w14:textId="49008633" w:rsidR="00536C09" w:rsidRDefault="00536C09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XII – O objetivo deste inciso, é garantir a continuidade do poder financeiro do consumidor que busca adimplir com seus compromissos, por meio de crédito e valores de cobrança adequados ao seu perfil econômico.</w:t>
      </w:r>
    </w:p>
    <w:p w14:paraId="5816629D" w14:textId="1329C547" w:rsidR="00536C09" w:rsidRDefault="00536C09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XIII – Por fim, este inciso ressalta a necessidade de informar </w:t>
      </w:r>
      <w:r w:rsidR="001761CF">
        <w:rPr>
          <w:rFonts w:ascii="Arial" w:hAnsi="Arial" w:cs="Arial"/>
          <w:color w:val="000000"/>
          <w:sz w:val="24"/>
          <w:szCs w:val="24"/>
        </w:rPr>
        <w:t>as características de produtos, especificando a forma com este é comercializado, seja por peso, litro, unidade ou quaisquer que sejam as unidades de medidas adotadas.</w:t>
      </w:r>
    </w:p>
    <w:p w14:paraId="4482014B" w14:textId="77777777" w:rsidR="001761CF" w:rsidRDefault="001761CF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</w:p>
    <w:p w14:paraId="6B5C0281" w14:textId="77777777" w:rsidR="001761CF" w:rsidRDefault="001761CF" w:rsidP="006A40AF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</w:p>
    <w:p w14:paraId="2A8BC359" w14:textId="4ED200F4" w:rsidR="00DE2BC9" w:rsidRDefault="00DE2BC9" w:rsidP="00C45B04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</w:p>
    <w:p w14:paraId="697B5F63" w14:textId="77777777" w:rsidR="00DE2BC9" w:rsidRPr="00DE2BC9" w:rsidRDefault="00DE2BC9" w:rsidP="00C45B04">
      <w:pPr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</w:p>
    <w:p w14:paraId="0B35AF7B" w14:textId="2F9F5D73" w:rsidR="00771A76" w:rsidRPr="002140E6" w:rsidRDefault="00771A76" w:rsidP="00C45B04">
      <w:pPr>
        <w:ind w:firstLine="851"/>
        <w:jc w:val="both"/>
        <w:rPr>
          <w:rFonts w:ascii="Arial" w:hAnsi="Arial" w:cs="Arial"/>
          <w:b/>
          <w:bCs/>
          <w:sz w:val="24"/>
          <w:szCs w:val="24"/>
        </w:rPr>
      </w:pPr>
      <w:r w:rsidRPr="002140E6">
        <w:rPr>
          <w:rFonts w:ascii="Arial" w:hAnsi="Arial" w:cs="Arial"/>
          <w:b/>
          <w:bCs/>
          <w:sz w:val="24"/>
          <w:szCs w:val="24"/>
        </w:rPr>
        <w:t>5. O que significa que o meio ambiente é bem de uso comum do povo art. 225 CF/88 explique e de exemplos</w:t>
      </w:r>
      <w:r w:rsidR="00956687" w:rsidRPr="002140E6">
        <w:rPr>
          <w:rFonts w:ascii="Arial" w:hAnsi="Arial" w:cs="Arial"/>
          <w:b/>
          <w:bCs/>
          <w:sz w:val="24"/>
          <w:szCs w:val="24"/>
        </w:rPr>
        <w:t>.</w:t>
      </w:r>
    </w:p>
    <w:p w14:paraId="0FD0D57A" w14:textId="725A4184" w:rsidR="00956687" w:rsidRDefault="009C1BCF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Constituição de 88 traz este enfoque amparada nas ideias da 3ª geração de direito, </w:t>
      </w:r>
      <w:r w:rsidR="007A3DFC">
        <w:rPr>
          <w:rFonts w:ascii="Arial" w:hAnsi="Arial" w:cs="Arial"/>
          <w:sz w:val="24"/>
          <w:szCs w:val="24"/>
        </w:rPr>
        <w:t>que estão alicerçados nos conceitos de liberdade e solidariedade.</w:t>
      </w:r>
    </w:p>
    <w:p w14:paraId="7362B903" w14:textId="01EAA32D" w:rsidR="00CC1206" w:rsidRDefault="00C97DD0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Neste sentido, a carta visa proibir </w:t>
      </w:r>
      <w:r w:rsidR="00CC1206">
        <w:rPr>
          <w:rFonts w:ascii="Arial" w:hAnsi="Arial" w:cs="Arial"/>
          <w:sz w:val="24"/>
          <w:szCs w:val="24"/>
        </w:rPr>
        <w:t>quaisquer formas</w:t>
      </w:r>
      <w:r>
        <w:rPr>
          <w:rFonts w:ascii="Arial" w:hAnsi="Arial" w:cs="Arial"/>
          <w:sz w:val="24"/>
          <w:szCs w:val="24"/>
        </w:rPr>
        <w:t xml:space="preserve"> de apropriação</w:t>
      </w:r>
      <w:r w:rsidR="009A1BF8">
        <w:rPr>
          <w:rFonts w:ascii="Arial" w:hAnsi="Arial" w:cs="Arial"/>
          <w:sz w:val="24"/>
          <w:szCs w:val="24"/>
        </w:rPr>
        <w:t xml:space="preserve"> e exploração</w:t>
      </w:r>
      <w:r>
        <w:rPr>
          <w:rFonts w:ascii="Arial" w:hAnsi="Arial" w:cs="Arial"/>
          <w:sz w:val="24"/>
          <w:szCs w:val="24"/>
        </w:rPr>
        <w:t xml:space="preserve"> do patrimônio ambiental</w:t>
      </w:r>
      <w:r w:rsidR="007C73C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CC1206">
        <w:rPr>
          <w:rFonts w:ascii="Arial" w:hAnsi="Arial" w:cs="Arial"/>
          <w:sz w:val="24"/>
          <w:szCs w:val="24"/>
        </w:rPr>
        <w:t xml:space="preserve">seja ele </w:t>
      </w:r>
      <w:r>
        <w:rPr>
          <w:rFonts w:ascii="Arial" w:hAnsi="Arial" w:cs="Arial"/>
          <w:sz w:val="24"/>
          <w:szCs w:val="24"/>
        </w:rPr>
        <w:t>em prol de um pequeno grupo de indivíduos</w:t>
      </w:r>
      <w:r w:rsidR="007C73CC">
        <w:rPr>
          <w:rFonts w:ascii="Arial" w:hAnsi="Arial" w:cs="Arial"/>
          <w:sz w:val="24"/>
          <w:szCs w:val="24"/>
        </w:rPr>
        <w:t xml:space="preserve"> ou grandes organizações</w:t>
      </w:r>
      <w:r w:rsidR="00CC1206">
        <w:rPr>
          <w:rFonts w:ascii="Arial" w:hAnsi="Arial" w:cs="Arial"/>
          <w:sz w:val="24"/>
          <w:szCs w:val="24"/>
        </w:rPr>
        <w:t>.</w:t>
      </w:r>
    </w:p>
    <w:p w14:paraId="575B7725" w14:textId="3B2984C9" w:rsidR="00C97DD0" w:rsidRDefault="00CC1206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Desta forma, </w:t>
      </w:r>
      <w:r w:rsidR="009A1BF8">
        <w:rPr>
          <w:rFonts w:ascii="Arial" w:hAnsi="Arial" w:cs="Arial"/>
          <w:sz w:val="24"/>
          <w:szCs w:val="24"/>
        </w:rPr>
        <w:t>buscou-se vedar</w:t>
      </w:r>
      <w:r>
        <w:rPr>
          <w:rFonts w:ascii="Arial" w:hAnsi="Arial" w:cs="Arial"/>
          <w:sz w:val="24"/>
          <w:szCs w:val="24"/>
        </w:rPr>
        <w:t xml:space="preserve"> </w:t>
      </w:r>
      <w:r w:rsidR="009A1BF8">
        <w:rPr>
          <w:rFonts w:ascii="Arial" w:hAnsi="Arial" w:cs="Arial"/>
          <w:sz w:val="24"/>
          <w:szCs w:val="24"/>
        </w:rPr>
        <w:t xml:space="preserve">desde o </w:t>
      </w:r>
      <w:r w:rsidR="00C97DD0">
        <w:rPr>
          <w:rFonts w:ascii="Arial" w:hAnsi="Arial" w:cs="Arial"/>
          <w:sz w:val="24"/>
          <w:szCs w:val="24"/>
        </w:rPr>
        <w:t>controle</w:t>
      </w:r>
      <w:r w:rsidR="007C73CC">
        <w:rPr>
          <w:rFonts w:ascii="Arial" w:hAnsi="Arial" w:cs="Arial"/>
          <w:sz w:val="24"/>
          <w:szCs w:val="24"/>
        </w:rPr>
        <w:t xml:space="preserve">, </w:t>
      </w:r>
      <w:r w:rsidR="00C97DD0">
        <w:rPr>
          <w:rFonts w:ascii="Arial" w:hAnsi="Arial" w:cs="Arial"/>
          <w:sz w:val="24"/>
          <w:szCs w:val="24"/>
        </w:rPr>
        <w:t>acesso</w:t>
      </w:r>
      <w:r w:rsidR="007C73CC">
        <w:rPr>
          <w:rFonts w:ascii="Arial" w:hAnsi="Arial" w:cs="Arial"/>
          <w:sz w:val="24"/>
          <w:szCs w:val="24"/>
        </w:rPr>
        <w:t xml:space="preserve"> e uso de</w:t>
      </w:r>
      <w:r w:rsidR="00C97DD0">
        <w:rPr>
          <w:rFonts w:ascii="Arial" w:hAnsi="Arial" w:cs="Arial"/>
          <w:sz w:val="24"/>
          <w:szCs w:val="24"/>
        </w:rPr>
        <w:t xml:space="preserve"> uma praia</w:t>
      </w:r>
      <w:r w:rsidR="007C73CC">
        <w:rPr>
          <w:rFonts w:ascii="Arial" w:hAnsi="Arial" w:cs="Arial"/>
          <w:sz w:val="24"/>
          <w:szCs w:val="24"/>
        </w:rPr>
        <w:t xml:space="preserve"> da costa brasileira</w:t>
      </w:r>
      <w:r w:rsidR="00C97DD0">
        <w:rPr>
          <w:rFonts w:ascii="Arial" w:hAnsi="Arial" w:cs="Arial"/>
          <w:sz w:val="24"/>
          <w:szCs w:val="24"/>
        </w:rPr>
        <w:t xml:space="preserve">, tornando-a exclusiva para </w:t>
      </w:r>
      <w:r w:rsidR="007C73CC">
        <w:rPr>
          <w:rFonts w:ascii="Arial" w:hAnsi="Arial" w:cs="Arial"/>
          <w:sz w:val="24"/>
          <w:szCs w:val="24"/>
        </w:rPr>
        <w:t xml:space="preserve">o </w:t>
      </w:r>
      <w:r w:rsidR="009A1BF8">
        <w:rPr>
          <w:rFonts w:ascii="Arial" w:hAnsi="Arial" w:cs="Arial"/>
          <w:sz w:val="24"/>
          <w:szCs w:val="24"/>
        </w:rPr>
        <w:t>grupo</w:t>
      </w:r>
      <w:r w:rsidR="007C73CC">
        <w:rPr>
          <w:rFonts w:ascii="Arial" w:hAnsi="Arial" w:cs="Arial"/>
          <w:sz w:val="24"/>
          <w:szCs w:val="24"/>
        </w:rPr>
        <w:t xml:space="preserve"> que a controla</w:t>
      </w:r>
      <w:r w:rsidR="00C97DD0">
        <w:rPr>
          <w:rFonts w:ascii="Arial" w:hAnsi="Arial" w:cs="Arial"/>
          <w:sz w:val="24"/>
          <w:szCs w:val="24"/>
        </w:rPr>
        <w:t>; como para um</w:t>
      </w:r>
      <w:r w:rsidR="007C73CC">
        <w:rPr>
          <w:rFonts w:ascii="Arial" w:hAnsi="Arial" w:cs="Arial"/>
          <w:sz w:val="24"/>
          <w:szCs w:val="24"/>
        </w:rPr>
        <w:t xml:space="preserve"> grande grupo farmacêutico</w:t>
      </w:r>
      <w:r w:rsidR="00C97DD0">
        <w:rPr>
          <w:rFonts w:ascii="Arial" w:hAnsi="Arial" w:cs="Arial"/>
          <w:sz w:val="24"/>
          <w:szCs w:val="24"/>
        </w:rPr>
        <w:t xml:space="preserve">, mediante uso de material </w:t>
      </w:r>
      <w:r>
        <w:rPr>
          <w:rFonts w:ascii="Arial" w:hAnsi="Arial" w:cs="Arial"/>
          <w:sz w:val="24"/>
          <w:szCs w:val="24"/>
        </w:rPr>
        <w:t>genético</w:t>
      </w:r>
      <w:r w:rsidR="00C97DD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 w:rsidR="00C97DD0">
        <w:rPr>
          <w:rFonts w:ascii="Arial" w:hAnsi="Arial" w:cs="Arial"/>
          <w:sz w:val="24"/>
          <w:szCs w:val="24"/>
        </w:rPr>
        <w:t xml:space="preserve">extraído </w:t>
      </w:r>
      <w:r>
        <w:rPr>
          <w:rFonts w:ascii="Arial" w:hAnsi="Arial" w:cs="Arial"/>
          <w:sz w:val="24"/>
          <w:szCs w:val="24"/>
        </w:rPr>
        <w:t xml:space="preserve">da flora ou fauna nacionais) e lucrando </w:t>
      </w:r>
      <w:r w:rsidR="007C73CC">
        <w:rPr>
          <w:rFonts w:ascii="Arial" w:hAnsi="Arial" w:cs="Arial"/>
          <w:sz w:val="24"/>
          <w:szCs w:val="24"/>
        </w:rPr>
        <w:t>com o uso</w:t>
      </w:r>
      <w:r>
        <w:rPr>
          <w:rFonts w:ascii="Arial" w:hAnsi="Arial" w:cs="Arial"/>
          <w:sz w:val="24"/>
          <w:szCs w:val="24"/>
        </w:rPr>
        <w:t xml:space="preserve"> de patentes de produtos </w:t>
      </w:r>
      <w:r w:rsidR="007C73CC">
        <w:rPr>
          <w:rFonts w:ascii="Arial" w:hAnsi="Arial" w:cs="Arial"/>
          <w:sz w:val="24"/>
          <w:szCs w:val="24"/>
        </w:rPr>
        <w:t>dos produtos desenvolvidos.</w:t>
      </w:r>
    </w:p>
    <w:p w14:paraId="42D7D45B" w14:textId="38957CE0" w:rsidR="007A3DFC" w:rsidRDefault="00AE2BEF" w:rsidP="00C45B04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Conclui</w:t>
      </w:r>
      <w:r w:rsidR="007A3DFC">
        <w:rPr>
          <w:rFonts w:ascii="Arial" w:hAnsi="Arial" w:cs="Arial"/>
          <w:sz w:val="24"/>
          <w:szCs w:val="24"/>
        </w:rPr>
        <w:t>-se, por fim, que</w:t>
      </w:r>
      <w:r>
        <w:rPr>
          <w:rFonts w:ascii="Arial" w:hAnsi="Arial" w:cs="Arial"/>
          <w:sz w:val="24"/>
          <w:szCs w:val="24"/>
        </w:rPr>
        <w:t xml:space="preserve"> ao tornar o</w:t>
      </w:r>
      <w:r w:rsidR="007A3DFC">
        <w:rPr>
          <w:rFonts w:ascii="Arial" w:hAnsi="Arial" w:cs="Arial"/>
          <w:sz w:val="24"/>
          <w:szCs w:val="24"/>
        </w:rPr>
        <w:t xml:space="preserve"> meio ambiente de uso comum</w:t>
      </w:r>
      <w:r>
        <w:rPr>
          <w:rFonts w:ascii="Arial" w:hAnsi="Arial" w:cs="Arial"/>
          <w:sz w:val="24"/>
          <w:szCs w:val="24"/>
        </w:rPr>
        <w:t xml:space="preserve">, </w:t>
      </w:r>
      <w:r w:rsidR="007A3DFC">
        <w:rPr>
          <w:rFonts w:ascii="Arial" w:hAnsi="Arial" w:cs="Arial"/>
          <w:sz w:val="24"/>
          <w:szCs w:val="24"/>
        </w:rPr>
        <w:t xml:space="preserve">o legislador </w:t>
      </w:r>
      <w:r>
        <w:rPr>
          <w:rFonts w:ascii="Arial" w:hAnsi="Arial" w:cs="Arial"/>
          <w:sz w:val="24"/>
          <w:szCs w:val="24"/>
        </w:rPr>
        <w:t xml:space="preserve">interpreta </w:t>
      </w:r>
      <w:r w:rsidR="007A3DFC">
        <w:rPr>
          <w:rFonts w:ascii="Arial" w:hAnsi="Arial" w:cs="Arial"/>
          <w:sz w:val="24"/>
          <w:szCs w:val="24"/>
        </w:rPr>
        <w:t>que o acesso ao patrimônio natural é fundamental para o desenvolvimento do gênero humano.</w:t>
      </w:r>
    </w:p>
    <w:p w14:paraId="79C7D2B0" w14:textId="77777777" w:rsidR="007C73CC" w:rsidRDefault="007C73CC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0FDE9842" w14:textId="7FA67339" w:rsidR="00956687" w:rsidRDefault="00956687" w:rsidP="00956687">
      <w:pPr>
        <w:jc w:val="both"/>
        <w:rPr>
          <w:rFonts w:ascii="Arial" w:hAnsi="Arial" w:cs="Arial"/>
          <w:sz w:val="24"/>
          <w:szCs w:val="24"/>
        </w:rPr>
      </w:pPr>
    </w:p>
    <w:p w14:paraId="1A2E8210" w14:textId="05406DBE" w:rsid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13BEC1E8" w14:textId="77777777" w:rsidR="00C45B04" w:rsidRPr="00C45B04" w:rsidRDefault="00C45B04" w:rsidP="00C45B04">
      <w:pPr>
        <w:ind w:firstLine="851"/>
        <w:jc w:val="both"/>
        <w:rPr>
          <w:rFonts w:ascii="Arial" w:hAnsi="Arial" w:cs="Arial"/>
          <w:sz w:val="24"/>
          <w:szCs w:val="24"/>
        </w:rPr>
      </w:pPr>
    </w:p>
    <w:sectPr w:rsidR="00C45B04" w:rsidRPr="00C45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04"/>
    <w:rsid w:val="00006035"/>
    <w:rsid w:val="00007FEA"/>
    <w:rsid w:val="00027583"/>
    <w:rsid w:val="001761CF"/>
    <w:rsid w:val="001C4F2F"/>
    <w:rsid w:val="002140E6"/>
    <w:rsid w:val="002645E1"/>
    <w:rsid w:val="0033054C"/>
    <w:rsid w:val="0033059E"/>
    <w:rsid w:val="00350B8E"/>
    <w:rsid w:val="004965C6"/>
    <w:rsid w:val="00536C09"/>
    <w:rsid w:val="006A40AF"/>
    <w:rsid w:val="00771A76"/>
    <w:rsid w:val="007A3DFC"/>
    <w:rsid w:val="007C73CC"/>
    <w:rsid w:val="00814277"/>
    <w:rsid w:val="0095472B"/>
    <w:rsid w:val="00956687"/>
    <w:rsid w:val="0096598F"/>
    <w:rsid w:val="009A1BF8"/>
    <w:rsid w:val="009C1BCF"/>
    <w:rsid w:val="009E6D6A"/>
    <w:rsid w:val="00AE2BEF"/>
    <w:rsid w:val="00C220F5"/>
    <w:rsid w:val="00C45B04"/>
    <w:rsid w:val="00C47425"/>
    <w:rsid w:val="00C97DD0"/>
    <w:rsid w:val="00CC1206"/>
    <w:rsid w:val="00DC0F64"/>
    <w:rsid w:val="00DE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1D59B"/>
  <w15:chartTrackingRefBased/>
  <w15:docId w15:val="{E8A8ACCC-96B9-41FE-B72B-0CF0A75B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1297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Lima dos Santos</dc:creator>
  <cp:keywords/>
  <dc:description/>
  <cp:lastModifiedBy>Alexandre Lima dos Santos</cp:lastModifiedBy>
  <cp:revision>5</cp:revision>
  <dcterms:created xsi:type="dcterms:W3CDTF">2022-06-07T00:27:00Z</dcterms:created>
  <dcterms:modified xsi:type="dcterms:W3CDTF">2022-06-10T19:30:00Z</dcterms:modified>
</cp:coreProperties>
</file>