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BCDE8">
      <w:pPr>
        <w:pStyle w:val="2"/>
        <w:keepNext w:val="0"/>
        <w:keepLines w:val="0"/>
        <w:widowControl/>
        <w:suppressLineNumbers w:val="0"/>
        <w:spacing w:before="0" w:beforeAutospacing="0" w:after="120" w:afterAutospacing="0" w:line="360" w:lineRule="auto"/>
        <w:ind w:left="0" w:leftChars="0" w:right="0" w:firstLine="480" w:firstLineChars="200"/>
        <w:jc w:val="both"/>
        <w:rPr>
          <w:rFonts w:ascii="微软雅黑" w:hAnsi="微软雅黑" w:eastAsia="宋体" w:cs="微软雅黑"/>
          <w:b w:val="0"/>
          <w:bCs/>
          <w:i w:val="0"/>
          <w:iCs w:val="0"/>
          <w:caps w:val="0"/>
          <w:strike w:val="0"/>
          <w:color w:val="auto"/>
          <w:spacing w:val="0"/>
          <w:sz w:val="24"/>
          <w:szCs w:val="12"/>
          <w:u w:val="none"/>
        </w:rPr>
      </w:pPr>
      <w:r>
        <w:rPr>
          <w:rFonts w:hint="eastAsia" w:ascii="微软雅黑" w:hAnsi="微软雅黑" w:eastAsia="宋体" w:cs="微软雅黑"/>
          <w:b w:val="0"/>
          <w:bCs/>
          <w:i w:val="0"/>
          <w:iCs w:val="0"/>
          <w:caps w:val="0"/>
          <w:strike w:val="0"/>
          <w:color w:val="auto"/>
          <w:spacing w:val="0"/>
          <w:sz w:val="24"/>
          <w:szCs w:val="12"/>
          <w:u w:val="none"/>
        </w:rPr>
        <w:t>公司员工劳动合同 1</w:t>
      </w:r>
    </w:p>
    <w:p w14:paraId="3DCFB5D8">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甲方：</w:t>
      </w:r>
    </w:p>
    <w:p w14:paraId="1B3A2031">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乙方：</w:t>
      </w:r>
    </w:p>
    <w:p w14:paraId="5ADA1DF6">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根据《中华人民共和国劳动合同法》及相关法律、法规的规定，在乙方对甲方公司情况、管理制度等充分了解的情况下，甲乙双方遵循合法、公平、平等自愿、协商一致、诚实信用的原则，订立本劳动合同（以下简称合同），共同遵守。</w:t>
      </w:r>
    </w:p>
    <w:p w14:paraId="42AC816E">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第一条本合同期限经双方协商一致，采取固定期限形式：自20__年1月5日起至20__年1月4日止。</w:t>
      </w:r>
    </w:p>
    <w:p w14:paraId="00BA81C2">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第二条乙方的工作区域或工作地点为重庆市璧山县建设宾馆3层</w:t>
      </w:r>
    </w:p>
    <w:p w14:paraId="48E5B6E4">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三条乙方同意根据甲方工作需要，担任教师岗位（工种）工作。乙方同意甲方可以根据经营情况、工作需要，以及乙方工作能力和表现业绩、考核结果，安排和调整乙方的工作岗位、职务和相对应的工作级别，乙方同意服从甲方的管理和安排。</w:t>
      </w:r>
    </w:p>
    <w:p w14:paraId="17FEC6AB">
      <w:pPr>
        <w:keepNext w:val="0"/>
        <w:keepLines w:val="0"/>
        <w:widowControl/>
        <w:suppressLineNumbers w:val="0"/>
        <w:spacing w:before="0" w:beforeAutospacing="0" w:after="120" w:afterAutospacing="0" w:line="360" w:lineRule="auto"/>
        <w:ind w:left="0" w:leftChars="0" w:right="0" w:rightChars="0" w:firstLine="482" w:firstLineChars="200"/>
        <w:jc w:val="both"/>
        <w:outlineLvl w:val="1"/>
        <w:rPr>
          <w:rFonts w:hint="eastAsia" w:ascii="微软雅黑" w:hAnsi="微软雅黑" w:eastAsia="宋体" w:cs="微软雅黑"/>
          <w:b/>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bCs/>
          <w:i w:val="0"/>
          <w:iCs w:val="0"/>
          <w:caps w:val="0"/>
          <w:strike w:val="0"/>
          <w:color w:val="auto"/>
          <w:spacing w:val="0"/>
          <w:kern w:val="0"/>
          <w:sz w:val="24"/>
          <w:szCs w:val="12"/>
          <w:u w:val="none"/>
          <w:lang w:val="en-US" w:eastAsia="zh-CN" w:bidi="ar"/>
        </w:rPr>
        <w:t>第四条</w:t>
      </w:r>
    </w:p>
    <w:p w14:paraId="2B80E1ED">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（一）甲方安排乙方执行标准工时工作制度。</w:t>
      </w:r>
    </w:p>
    <w:p w14:paraId="1978353F">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执行标准工时制度的，乙方每天工作时间不超过8小时，每周工作不超过40小时。</w:t>
      </w:r>
    </w:p>
    <w:p w14:paraId="52E921E8">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甲方安排乙方从事的岗位（工种）实行综合计算工时工作制度或者不定时工作制度的，平均每月工作时间不超过法定标准工作时间。</w:t>
      </w:r>
    </w:p>
    <w:p w14:paraId="0527ABDB">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（二）甲方安排乙方加班的，乙方无正当理由，不得拒绝。有关报酬依据《劳动法》及甲方内部管理制度办理。</w:t>
      </w:r>
    </w:p>
    <w:p w14:paraId="17B7D731">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第五条</w:t>
      </w:r>
      <w:r>
        <w:rPr>
          <w:rFonts w:hint="eastAsia" w:ascii="微软雅黑" w:hAnsi="微软雅黑" w:eastAsia="微软雅黑" w:cs="微软雅黑"/>
          <w:i w:val="0"/>
          <w:iCs w:val="0"/>
          <w:caps w:val="0"/>
          <w:color w:val="333333"/>
          <w:spacing w:val="0"/>
          <w:sz w:val="12"/>
          <w:szCs w:val="12"/>
          <w:bdr w:val="none" w:color="auto" w:sz="0" w:space="0"/>
          <w:shd w:val="clear" w:fill="FFFFFF"/>
        </w:rPr>
        <w:t>甲方每月10日前以法定货币足额支付乙方工资。乙方的工资随甲方的经济效益上下浮动，具体的办法见附表1、2。</w:t>
      </w:r>
    </w:p>
    <w:p w14:paraId="0D204CA5">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乙方同意甲方可以根据实际经营状况、规章制度、对乙方考核情况，以及乙方在甲方处的工作年限、奖惩记录、岗位变化等调整乙方工资待遇。</w:t>
      </w:r>
    </w:p>
    <w:p w14:paraId="627520CF">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第六条</w:t>
      </w:r>
      <w:r>
        <w:rPr>
          <w:rFonts w:hint="eastAsia" w:ascii="微软雅黑" w:hAnsi="微软雅黑" w:eastAsia="微软雅黑" w:cs="微软雅黑"/>
          <w:i w:val="0"/>
          <w:iCs w:val="0"/>
          <w:caps w:val="0"/>
          <w:color w:val="333333"/>
          <w:spacing w:val="0"/>
          <w:sz w:val="12"/>
          <w:szCs w:val="12"/>
          <w:bdr w:val="none" w:color="auto" w:sz="0" w:space="0"/>
          <w:shd w:val="clear" w:fill="FFFFFF"/>
        </w:rPr>
        <w:t>甲乙双方在本合同有效期内经协商一致，可以变更本合同约定的内容。</w:t>
      </w:r>
    </w:p>
    <w:p w14:paraId="4BB1D26A">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第七条</w:t>
      </w:r>
      <w:r>
        <w:rPr>
          <w:rFonts w:hint="eastAsia" w:ascii="微软雅黑" w:hAnsi="微软雅黑" w:eastAsia="微软雅黑" w:cs="微软雅黑"/>
          <w:i w:val="0"/>
          <w:iCs w:val="0"/>
          <w:caps w:val="0"/>
          <w:color w:val="333333"/>
          <w:spacing w:val="0"/>
          <w:sz w:val="12"/>
          <w:szCs w:val="12"/>
          <w:bdr w:val="none" w:color="auto" w:sz="0" w:space="0"/>
          <w:shd w:val="clear" w:fill="FFFFFF"/>
        </w:rPr>
        <w:t>甲乙双方变更、续订、解除、终止劳动合同应当依照《劳动合同法》等相关法律、法规和重庆市有关规定执行：</w:t>
      </w:r>
    </w:p>
    <w:p w14:paraId="68105A04">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（一）经甲乙双方协商一致，本合同可以解除。</w:t>
      </w:r>
    </w:p>
    <w:p w14:paraId="2B0E567F">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（二）任何一方单方提出解除本合同，应提前30日书面形式通知对方。</w:t>
      </w:r>
    </w:p>
    <w:p w14:paraId="2CF26EDF">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（三）乙方有下列情形之一，甲方可以随时解除本合同，并不支付经济补偿：</w:t>
      </w:r>
    </w:p>
    <w:p w14:paraId="6181BD8E">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1、在试用期间被证明不符合录用条件的；</w:t>
      </w:r>
    </w:p>
    <w:p w14:paraId="2DB926AC">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2、严重违反甲方劳动纪律或甲方规章制度的；如下内容均系用人单位的重大规章制度，如出现如下情况之一，除甲方有权随时解除劳动合同，乙方除无权获得任何经济补偿，并需赔偿给甲方造成的一切损失。</w:t>
      </w:r>
    </w:p>
    <w:p w14:paraId="2953E92B">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（1）乙方在本合同签订前，未终止与其他雇主订立的劳动或聘用合同；或者乙方未经甲方书面许可在本合同有效期内同时受聘于其他雇主的。</w:t>
      </w:r>
    </w:p>
    <w:p w14:paraId="38D84E76">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（2）乙方在教育、学历、工作经历、身体状况等方面有隐瞒、造假、虚报等与事实不符的情况。</w:t>
      </w:r>
    </w:p>
    <w:p w14:paraId="4BBE715E">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3）乙方未能保守甲方商业秘密。乙方应当遵守甲方的保密制度，应对所有与甲方有关的商业信息（包括但不限于财务、客户、产品、销售等信息）予以保密。凡未经甲方批准不得将甲方有关资料（含复印峻、电子资料）带离工作场所，擅自传播和复制（拷贝）甲方有关资料，离职时未归还所有属于甲方的文件、物品均属于未能保守商业秘密的行为。</w:t>
      </w:r>
    </w:p>
    <w:p w14:paraId="5DF45B77">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（4）乙方严重违反员工手册的规定。本合同签订前，乙方已经详细了解员工手册内容，承诺严格遵守。乙方累计违反劳动纪律或规章制度三次以上的视为严重违反甲方劳动纪律或甲方规章制度。</w:t>
      </w:r>
    </w:p>
    <w:p w14:paraId="46B6303C">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3、严重失职，营私舞弊，给甲方造成重大损害的。双方确认造成甲方损失1000元以上的为重大损害；</w:t>
      </w:r>
    </w:p>
    <w:p w14:paraId="240DB11A">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4、乙方同时与其他单位建立劳动关系，对完成本单位的工作任务造成严重影响，或者经甲方提出，拒不改正的；</w:t>
      </w:r>
    </w:p>
    <w:p w14:paraId="3D28D69F">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5、因违反《劳动合同法》规定的情形致使劳动合同无效的；</w:t>
      </w:r>
    </w:p>
    <w:p w14:paraId="47AC8059">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6、被依法追究刑事责任的。</w:t>
      </w:r>
    </w:p>
    <w:p w14:paraId="47CE66C8">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（四）用人单位有下列情形之一的，劳动者可以解除劳动合同：</w:t>
      </w:r>
    </w:p>
    <w:p w14:paraId="3122F1DD">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1、未按照劳动合同约定提供劳动保护或者劳动条件的；</w:t>
      </w:r>
    </w:p>
    <w:p w14:paraId="538EDC05">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2、未及时足额支付劳动报酬的，此处及时是指在乙方全面履行劳动合同的前提下，甲方按本合同约定的和相关法律、法规的规定，按本合同的约定向乙方足额支付劳动报酬，如遇乙方违反劳动合同、劳动纪律，或遇不可抗力、节假日顺延支付等情况，不视为未及时；</w:t>
      </w:r>
    </w:p>
    <w:p w14:paraId="4C6F2F91">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3、用人单位的规章制度违反法律、法规的规定，损害劳动者权益的；</w:t>
      </w:r>
    </w:p>
    <w:p w14:paraId="3298755E">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4、因违反《劳动合同法》使劳动合同无效的；</w:t>
      </w:r>
    </w:p>
    <w:p w14:paraId="66709BC1">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5、法律、行政法规规定劳动者可以解除劳动合同的其他情形。</w:t>
      </w:r>
    </w:p>
    <w:p w14:paraId="077DA2B5">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（五）有下列情形之一的，本合同终止：</w:t>
      </w:r>
    </w:p>
    <w:p w14:paraId="175ACC29">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1、劳动合同期满的；</w:t>
      </w:r>
    </w:p>
    <w:p w14:paraId="0BC11AEE">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2、乙方没有依法享受基本养老保险待遇的；</w:t>
      </w:r>
    </w:p>
    <w:p w14:paraId="6CA69850">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3、乙方死亡，或者被人民法院宣告死亡或者宣告失踪的；</w:t>
      </w:r>
    </w:p>
    <w:p w14:paraId="1C8BB175">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4、甲方被依法宣告破产的；</w:t>
      </w:r>
    </w:p>
    <w:p w14:paraId="134EF8C8">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5、甲方被吊销营业执照、责令关闭、撤销或者甲方决定提前解散的；</w:t>
      </w:r>
    </w:p>
    <w:p w14:paraId="647DF743">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6、法律、行政法规规定的其他情形。</w:t>
      </w:r>
    </w:p>
    <w:p w14:paraId="0BA755A9">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第八条</w:t>
      </w: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甲方应当在解除或者终止本合同时，为乙方出具解除或者终止劳动合同的'证明，并在十五日内为乙方办理转移手续。</w:t>
      </w:r>
    </w:p>
    <w:p w14:paraId="3232F492">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乙方应当按照甲方有关规定，办理工作交接。甲方依法应当向乙方支付经济补偿的，在办结工作交接后才能支付。乙方工作交接未办结的，无权领取经济补偿。乙方离职时的工作交接手续、应当履行的义务等依照甲方各项规章制度执行，乙方必须在甲方要求的期限内提供相关资料、信息和文件，以确保甲方能够及时为乙方办理转移手续。乙方承诺按照甲方要求及时办理工作交接手续，在乙方未办理完毕前，甲方可以暂时不为乙方办理转移手续。</w:t>
      </w:r>
    </w:p>
    <w:p w14:paraId="7C16D541">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第九条竞业限制条款</w:t>
      </w:r>
    </w:p>
    <w:p w14:paraId="0E6CB07E">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解除或者终止劳动合同后，乙方应把所有的有关商业秘密的资料移交甲方，并保证两年内不在璧山县行政地域范围内从事与甲方商业秘密有关的工作，且不在与本单位生产或者经营同类产品、从事同类业务的有竞争关系的其他单位任职，或者自己开业生产或者经营同类产品、从事同类业务的竞争。</w:t>
      </w:r>
    </w:p>
    <w:p w14:paraId="67867D12">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第十条甲乙双方因履行本合同发生劳动争议，可以协商解决。协商不成的，可向甲方劳动争议调解委员会申请调解；也可直接向有管辖权的劳动争议仲裁委员会申请仲裁。</w:t>
      </w:r>
    </w:p>
    <w:p w14:paraId="319B347A">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乙方申明：乙方在签署本协议时，业已获得公司的相关文件，并知悉全文，愿意遵守甲方的各项规定及以后颁布或修订的规章制度。</w:t>
      </w:r>
    </w:p>
    <w:p w14:paraId="5AE34A03">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第十一条本合同未尽事宜或与国家和重庆市有关规定相悖的，按国家和重庆市有关规定执行。</w:t>
      </w:r>
      <w:bookmarkStart w:id="0" w:name="_GoBack"/>
      <w:bookmarkEnd w:id="0"/>
    </w:p>
    <w:p w14:paraId="7F614CDF">
      <w:pPr>
        <w:keepNext w:val="0"/>
        <w:keepLines w:val="0"/>
        <w:widowControl/>
        <w:suppressLineNumbers w:val="0"/>
        <w:spacing w:before="0" w:beforeAutospacing="0" w:after="120" w:afterAutospacing="0" w:line="360" w:lineRule="auto"/>
        <w:ind w:left="0" w:leftChars="0" w:right="0" w:rightChars="0" w:firstLine="480" w:firstLineChars="200"/>
        <w:jc w:val="both"/>
        <w:outlineLvl w:val="1"/>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第十二条本合同一式叁份，甲乙双方各执一份，存乙方档案一份，具有同等法律效力。</w:t>
      </w:r>
    </w:p>
    <w:p w14:paraId="3BEE2663">
      <w:pPr>
        <w:pStyle w:val="3"/>
        <w:keepNext w:val="0"/>
        <w:keepLines w:val="0"/>
        <w:widowControl/>
        <w:suppressLineNumbers w:val="0"/>
        <w:spacing w:before="0" w:beforeAutospacing="0" w:after="90" w:afterAutospacing="0" w:line="225" w:lineRule="atLeast"/>
        <w:ind w:left="0" w:right="0" w:firstLine="480" w:firstLineChars="200"/>
        <w:jc w:val="left"/>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甲方：</w:t>
      </w:r>
    </w:p>
    <w:p w14:paraId="1D0B611F">
      <w:pPr>
        <w:keepNext w:val="0"/>
        <w:keepLines w:val="0"/>
        <w:widowControl/>
        <w:suppressLineNumbers w:val="0"/>
        <w:spacing w:before="0" w:beforeAutospacing="0" w:after="90" w:afterAutospacing="0" w:line="225" w:lineRule="atLeast"/>
        <w:ind w:left="0" w:leftChars="0" w:right="0" w:rightChars="0" w:firstLine="480" w:firstLineChars="200"/>
        <w:jc w:val="left"/>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乙方：</w:t>
      </w:r>
    </w:p>
    <w:p w14:paraId="4E7D9860">
      <w:pPr>
        <w:keepNext w:val="0"/>
        <w:keepLines w:val="0"/>
        <w:widowControl/>
        <w:suppressLineNumbers w:val="0"/>
        <w:spacing w:before="0" w:beforeAutospacing="0" w:after="90" w:afterAutospacing="0" w:line="225" w:lineRule="atLeast"/>
        <w:ind w:left="0" w:leftChars="0" w:right="0" w:rightChars="0" w:firstLine="480" w:firstLineChars="200"/>
        <w:jc w:val="left"/>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pPr>
      <w:r>
        <w:rPr>
          <w:rFonts w:hint="eastAsia" w:ascii="微软雅黑" w:hAnsi="微软雅黑" w:eastAsia="宋体" w:cs="微软雅黑"/>
          <w:b w:val="0"/>
          <w:bCs/>
          <w:i w:val="0"/>
          <w:iCs w:val="0"/>
          <w:caps w:val="0"/>
          <w:strike w:val="0"/>
          <w:color w:val="auto"/>
          <w:spacing w:val="0"/>
          <w:kern w:val="0"/>
          <w:sz w:val="24"/>
          <w:szCs w:val="12"/>
          <w:u w:val="none"/>
          <w:lang w:val="en-US" w:eastAsia="zh-CN" w:bidi="ar"/>
        </w:rPr>
        <w:t>日期：</w:t>
      </w:r>
    </w:p>
    <w:p w14:paraId="7245043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0827EA"/>
    <w:rsid w:val="66F06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2026-04-02T06:44:30Z</dcterms:created>
  <dc:creator>ASUS</dc:creator>
  <cp:lastModifiedBy>袁丽</cp:lastModifiedBy>
  <dcterms:modified xsi:type="dcterms:W3CDTF">2026-04-02T06:44:58Z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eyJoZGlkIjoiYzYzNzdlM2U5ZDI5OWI0NzZlOWVmZjVhYTc3YWFjNGUiLCJ1c2VySWQiOiIxNTA1MjEwNzcxIn0=</vt:lpwstr>
  </property>
  <property fmtid="{D5CDD505-2E9C-101B-9397-08002B2CF9AE}" pid="4" name="ICV">
    <vt:lpwstr>BC17A4B0110C404489BA9AC3CD275A6E_12</vt:lpwstr>
  </property>
</Properties>
</file>