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4BD85C">
      <w:pPr>
        <w:widowControl/>
        <w:shd w:val="clear" w:color="auto" w:fill="FFFFFF"/>
        <w:spacing w:line="360" w:lineRule="atLeast"/>
        <w:ind w:firstLine="426"/>
        <w:jc w:val="center"/>
        <w:rPr>
          <w:rFonts w:hint="eastAsia" w:ascii="华文中宋" w:hAnsi="华文中宋" w:eastAsia="华文中宋" w:cs="Arial"/>
          <w:color w:val="333333"/>
          <w:sz w:val="52"/>
          <w:szCs w:val="52"/>
          <w:shd w:val="clear" w:color="auto" w:fill="FFFFFF"/>
        </w:rPr>
      </w:pPr>
      <w:bookmarkStart w:id="0" w:name="heading_0"/>
      <w:r>
        <w:rPr>
          <w:rFonts w:hint="eastAsia" w:ascii="华文中宋" w:hAnsi="华文中宋" w:eastAsia="华文中宋" w:cs="华文中宋"/>
          <w:color w:val="333333"/>
          <w:sz w:val="52"/>
          <w:szCs w:val="52"/>
          <w:shd w:val="clear" w:color="auto" w:fill="FFFFFF"/>
          <w:lang w:bidi="ar"/>
        </w:rPr>
        <w:t>中国大学生计算机设计大赛</w:t>
      </w:r>
    </w:p>
    <w:p w14:paraId="20B8115F">
      <w:pPr>
        <w:widowControl/>
        <w:shd w:val="clear" w:color="auto" w:fill="FFFFFF"/>
        <w:spacing w:line="360" w:lineRule="atLeast"/>
        <w:ind w:firstLine="1040"/>
        <w:jc w:val="center"/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</w:rPr>
      </w:pPr>
      <w:r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  <w:lang w:bidi="ar"/>
        </w:rPr>
        <w:t xml:space="preserve"> </w:t>
      </w:r>
    </w:p>
    <w:p w14:paraId="507F3C15">
      <w:pPr>
        <w:widowControl/>
        <w:shd w:val="clear" w:color="auto" w:fill="FFFFFF"/>
        <w:spacing w:line="360" w:lineRule="atLeast"/>
        <w:ind w:firstLine="420"/>
        <w:jc w:val="center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/>
          <w:color w:val="333333"/>
          <w:szCs w:val="21"/>
          <w:shd w:val="clear" w:color="auto" w:fill="FFFFFF"/>
          <w:lang w:bidi="ar"/>
        </w:rPr>
        <w:t xml:space="preserve"> </w:t>
      </w:r>
      <w:r>
        <w:rPr>
          <w:rFonts w:ascii="Arial" w:hAnsi="Arial" w:cs="Arial"/>
          <w:color w:val="333333"/>
          <w:szCs w:val="21"/>
          <w:shd w:val="clear" w:color="auto" w:fill="FFFFFF"/>
        </w:rPr>
        <w:drawing>
          <wp:inline distT="0" distB="0" distL="114300" distR="114300">
            <wp:extent cx="1714500" cy="1567180"/>
            <wp:effectExtent l="0" t="0" r="0" b="1397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56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D1EA">
      <w:pPr>
        <w:widowControl/>
        <w:shd w:val="clear" w:color="auto" w:fill="FFFFFF"/>
        <w:spacing w:line="360" w:lineRule="atLeast"/>
        <w:ind w:firstLine="1040"/>
        <w:jc w:val="center"/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</w:rPr>
      </w:pPr>
      <w:r>
        <w:rPr>
          <w:rFonts w:hint="eastAsia" w:ascii="华文中宋" w:hAnsi="华文中宋" w:eastAsia="华文中宋" w:cs="Arial"/>
          <w:color w:val="333333"/>
          <w:szCs w:val="21"/>
          <w:shd w:val="clear" w:color="auto" w:fill="FFFFFF"/>
          <w:lang w:bidi="ar"/>
        </w:rPr>
        <w:t xml:space="preserve"> </w:t>
      </w:r>
    </w:p>
    <w:p w14:paraId="37F1C125">
      <w:pPr>
        <w:widowControl/>
        <w:shd w:val="clear" w:color="auto" w:fill="FFFFFF"/>
        <w:spacing w:after="480" w:afterLines="200" w:line="360" w:lineRule="atLeast"/>
        <w:ind w:firstLine="426"/>
        <w:jc w:val="center"/>
        <w:rPr>
          <w:rFonts w:hint="eastAsia" w:ascii="华文楷体" w:hAnsi="华文楷体" w:eastAsia="华文楷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华文楷体" w:hAnsi="华文楷体" w:eastAsia="华文楷体" w:cs="华文楷体"/>
          <w:color w:val="333333"/>
          <w:sz w:val="32"/>
          <w:szCs w:val="32"/>
          <w:shd w:val="clear" w:color="auto" w:fill="FFFFFF"/>
          <w:lang w:bidi="ar"/>
        </w:rPr>
        <w:t>软件开发类作品文档简要要求</w:t>
      </w:r>
    </w:p>
    <w:p w14:paraId="508B78B0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作品编号：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11A1E663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作品名称：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0B100D67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作  者：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01DEED0E">
      <w:pPr>
        <w:widowControl/>
        <w:shd w:val="clear" w:color="auto" w:fill="FFFFFF"/>
        <w:spacing w:before="120" w:beforeLines="5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版本编号：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tbl>
      <w:tblPr>
        <w:tblStyle w:val="8"/>
        <w:tblW w:w="0" w:type="auto"/>
        <w:tblCellSpacing w:w="0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"/>
        <w:gridCol w:w="8220"/>
      </w:tblGrid>
      <w:tr w14:paraId="03FEFD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8220" w:type="dxa"/>
          <w:tblCellSpacing w:w="0" w:type="dxa"/>
        </w:trPr>
        <w:tc>
          <w:tcPr>
            <w:tcW w:w="86" w:type="dxa"/>
            <w:vAlign w:val="center"/>
          </w:tcPr>
          <w:p w14:paraId="6038F43F">
            <w:pPr>
              <w:rPr>
                <w:rFonts w:ascii="宋体"/>
                <w:sz w:val="24"/>
                <w:szCs w:val="24"/>
              </w:rPr>
            </w:pPr>
          </w:p>
        </w:tc>
      </w:tr>
      <w:tr w14:paraId="5EBA8A0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0" w:type="dxa"/>
        </w:trPr>
        <w:tc>
          <w:tcPr>
            <w:tcW w:w="0" w:type="auto"/>
            <w:vAlign w:val="center"/>
          </w:tcPr>
          <w:p w14:paraId="68554482">
            <w:pPr>
              <w:rPr>
                <w:rFonts w:ascii="宋体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A321774">
            <w:pPr>
              <w:widowControl/>
              <w:spacing w:before="120" w:beforeLines="50" w:after="480" w:afterLines="200"/>
              <w:jc w:val="left"/>
            </w:pPr>
            <w:r>
              <w:drawing>
                <wp:inline distT="0" distB="0" distL="114300" distR="114300">
                  <wp:extent cx="5210175" cy="2614930"/>
                  <wp:effectExtent l="0" t="0" r="9525" b="13970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0175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DA33B">
      <w:pPr>
        <w:widowControl/>
        <w:shd w:val="clear" w:color="auto" w:fill="FFFFFF"/>
        <w:spacing w:before="120" w:beforeLines="50" w:after="480" w:afterLines="200" w:line="360" w:lineRule="atLeast"/>
        <w:jc w:val="left"/>
        <w:rPr>
          <w:rFonts w:hint="eastAsia" w:ascii="宋体" w:hAnsi="宋体" w:cs="Arial"/>
          <w:color w:val="333333"/>
          <w:sz w:val="32"/>
          <w:szCs w:val="32"/>
          <w:shd w:val="clear" w:color="auto" w:fill="FFFFFF"/>
        </w:rPr>
      </w:pPr>
      <w:r>
        <w:rPr>
          <w:rFonts w:hint="eastAsia" w:ascii="宋体" w:hAnsi="宋体" w:cs="宋体"/>
          <w:color w:val="333333"/>
          <w:sz w:val="32"/>
          <w:szCs w:val="32"/>
          <w:shd w:val="clear" w:color="auto" w:fill="FFFFFF"/>
          <w:lang w:bidi="ar"/>
        </w:rPr>
        <w:t>填写日期：</w:t>
      </w:r>
      <w:r>
        <w:rPr>
          <w:rFonts w:hint="eastAsia" w:ascii="宋体" w:hAnsi="宋体" w:cs="宋体"/>
          <w:color w:val="333333"/>
          <w:sz w:val="32"/>
          <w:szCs w:val="32"/>
          <w:u w:val="single"/>
          <w:shd w:val="clear" w:color="auto" w:fill="FFFFFF"/>
          <w:lang w:bidi="ar"/>
        </w:rPr>
        <w:t xml:space="preserve">                   </w:t>
      </w:r>
    </w:p>
    <w:p w14:paraId="7E7BD7DC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7015136C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739703DA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p w14:paraId="037BB883">
      <w:pPr>
        <w:widowControl/>
        <w:ind w:firstLine="420"/>
        <w:jc w:val="left"/>
        <w:rPr>
          <w:rFonts w:hint="eastAsia" w:ascii="等线" w:hAnsi="等线" w:eastAsia="等线"/>
          <w:kern w:val="2"/>
          <w:szCs w:val="21"/>
        </w:rPr>
      </w:pPr>
      <w:r>
        <w:rPr>
          <w:rFonts w:ascii="等线" w:hAnsi="等线" w:eastAsia="等线"/>
          <w:kern w:val="2"/>
          <w:szCs w:val="21"/>
          <w:lang w:bidi="ar"/>
        </w:rPr>
        <w:t xml:space="preserve"> </w:t>
      </w:r>
    </w:p>
    <w:sdt>
      <w:sdtPr>
        <w:rPr>
          <w:rFonts w:ascii="等线" w:hAnsi="等线" w:eastAsia="等线"/>
          <w:b/>
          <w:kern w:val="2"/>
          <w:sz w:val="28"/>
          <w:szCs w:val="21"/>
        </w:rPr>
        <w:id w:val="57679702"/>
      </w:sdtPr>
      <w:sdtEndPr>
        <w:rPr>
          <w:rFonts w:ascii="等线" w:hAnsi="等线" w:eastAsia="等线"/>
          <w:b w:val="0"/>
          <w:kern w:val="2"/>
          <w:sz w:val="28"/>
          <w:szCs w:val="21"/>
        </w:rPr>
      </w:sdtEndPr>
      <w:sdtContent>
        <w:p w14:paraId="3C6225DF">
          <w:pPr>
            <w:jc w:val="center"/>
            <w:rPr>
              <w:rFonts w:hint="eastAsia" w:ascii="等线" w:hAnsi="等线" w:eastAsia="等线"/>
              <w:kern w:val="2"/>
              <w:sz w:val="32"/>
              <w:szCs w:val="32"/>
            </w:rPr>
          </w:pPr>
          <w:r>
            <w:rPr>
              <w:rFonts w:ascii="等线" w:hAnsi="等线" w:eastAsia="等线" w:cs="等线"/>
              <w:kern w:val="2"/>
              <w:sz w:val="32"/>
              <w:szCs w:val="32"/>
              <w:lang w:bidi="ar"/>
            </w:rPr>
            <w:t>目</w:t>
          </w:r>
          <w:r>
            <w:rPr>
              <w:rFonts w:ascii="等线" w:hAnsi="等线" w:eastAsia="等线"/>
              <w:kern w:val="2"/>
              <w:sz w:val="32"/>
              <w:szCs w:val="32"/>
              <w:lang w:bidi="ar"/>
            </w:rPr>
            <w:t xml:space="preserve">  </w:t>
          </w:r>
          <w:r>
            <w:rPr>
              <w:rFonts w:ascii="等线" w:hAnsi="等线" w:eastAsia="等线" w:cs="等线"/>
              <w:kern w:val="2"/>
              <w:sz w:val="32"/>
              <w:szCs w:val="32"/>
              <w:lang w:bidi="ar"/>
            </w:rPr>
            <w:t>录</w:t>
          </w:r>
        </w:p>
        <w:p w14:paraId="1C53C344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"_Toc100040660"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第一章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需求分析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_Toc100040660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5476C6B8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"_Toc100040661"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第二章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概要设计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_Toc100040661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6BB25177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"_Toc100040662"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第三章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详细设计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_Toc100040662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32EC2D27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"_Toc100040663"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第四章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测试报告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_Toc100040663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298D12CD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"_Toc100040664"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第五章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安装及使用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_Toc100040664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24170FF3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"_Toc100040665"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第六章</w:t>
          </w:r>
          <w:r>
            <w:rPr>
              <w:rStyle w:val="11"/>
              <w:b w:val="0"/>
              <w:sz w:val="21"/>
              <w:szCs w:val="21"/>
            </w:rPr>
            <w:tab/>
          </w:r>
          <w:r>
            <w:rPr>
              <w:rStyle w:val="11"/>
              <w:rFonts w:cs="等线"/>
              <w:b w:val="0"/>
            </w:rPr>
            <w:t>项目总结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_Toc100040665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6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  <w:p w14:paraId="23CBB013">
          <w:pPr>
            <w:pStyle w:val="6"/>
            <w:widowControl/>
            <w:rPr>
              <w:rFonts w:hint="eastAsia"/>
              <w:b w:val="0"/>
              <w:sz w:val="21"/>
              <w:szCs w:val="21"/>
            </w:rPr>
          </w:pPr>
          <w:r>
            <w:fldChar w:fldCharType="begin"/>
          </w:r>
          <w:r>
            <w:instrText xml:space="preserve"> HYPERLINK \l "_Toc100040666" </w:instrText>
          </w:r>
          <w:r>
            <w:fldChar w:fldCharType="separate"/>
          </w:r>
          <w:r>
            <w:rPr>
              <w:rStyle w:val="11"/>
              <w:rFonts w:cs="等线"/>
              <w:b w:val="0"/>
            </w:rPr>
            <w:t>参考文献</w:t>
          </w:r>
          <w:r>
            <w:rPr>
              <w:rStyle w:val="11"/>
              <w:b w:val="0"/>
            </w:rPr>
            <w:tab/>
          </w:r>
          <w:r>
            <w:rPr>
              <w:rStyle w:val="11"/>
              <w:b w:val="0"/>
            </w:rPr>
            <w:fldChar w:fldCharType="begin"/>
          </w:r>
          <w:r>
            <w:rPr>
              <w:rStyle w:val="11"/>
              <w:b w:val="0"/>
            </w:rPr>
            <w:instrText xml:space="preserve"> PAGEREF _Toc100040666 \h </w:instrText>
          </w:r>
          <w:r>
            <w:rPr>
              <w:rStyle w:val="11"/>
              <w:b w:val="0"/>
            </w:rPr>
            <w:fldChar w:fldCharType="separate"/>
          </w:r>
          <w:r>
            <w:rPr>
              <w:rStyle w:val="11"/>
              <w:b w:val="0"/>
            </w:rPr>
            <w:t>7</w:t>
          </w:r>
          <w:r>
            <w:rPr>
              <w:rStyle w:val="11"/>
              <w:b w:val="0"/>
            </w:rPr>
            <w:fldChar w:fldCharType="end"/>
          </w:r>
          <w:r>
            <w:rPr>
              <w:rStyle w:val="11"/>
              <w:b w:val="0"/>
            </w:rPr>
            <w:fldChar w:fldCharType="end"/>
          </w:r>
        </w:p>
      </w:sdtContent>
    </w:sdt>
    <w:p w14:paraId="582E97BA">
      <w:pPr>
        <w:rPr>
          <w:rFonts w:ascii="Arial" w:hAnsi="Arial" w:eastAsia="等线" w:cs="Arial"/>
          <w:b/>
          <w:sz w:val="36"/>
        </w:rPr>
      </w:pPr>
      <w:r>
        <w:rPr>
          <w:rFonts w:ascii="Arial" w:hAnsi="Arial" w:eastAsia="等线" w:cs="Arial"/>
          <w:b/>
          <w:sz w:val="36"/>
        </w:rPr>
        <w:br w:type="page"/>
      </w:r>
    </w:p>
    <w:bookmarkEnd w:id="0"/>
    <w:p w14:paraId="0E7F97B6">
      <w:pPr>
        <w:pStyle w:val="2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第一章 需求分析</w:t>
      </w:r>
    </w:p>
    <w:p w14:paraId="4FEBCC20">
      <w:pPr>
        <w:widowControl/>
        <w:spacing w:line="360" w:lineRule="atLeast"/>
        <w:ind w:firstLine="480" w:firstLineChars="200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当前应届毕业生及职场新人求职时，易因专业知识匮乏陷入劳动合同陷阱、被招聘黑话误导，现有工具或侧重招聘匹配、或面向企业专业审查，均无法适配新人轻量化的权益保护需求。本作品为求职与劳动合同智能辅助网页工具，核心服务应届毕业生、职场新人及灵活就业人员，集成 AI 智能助手、求职交流论坛、个人主页、法律案件与模拟演练四大核心功能，实现一站式风险识别、法律建议、案例学习、演练实践与社区交流。AI 智能助手整合劳动合同审查、求职黑话识别、求职风险评分能力，并可联动法律案例与模拟演练入口推荐；论坛支持发帖评论及 AI 答疑，个人主页可管理信息与发帖记录。竞品对比凸显本作品场景针对性强、网页轻量化、AI 一体化的核心优势，性能上保障文本处理≤3 秒、AI 响应≤1 秒，条款识别准确率≥90%，支持多端响应式访问。</w:t>
      </w:r>
    </w:p>
    <w:p w14:paraId="2402CB82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表格</w:t>
      </w:r>
    </w:p>
    <w:tbl>
      <w:tblPr>
        <w:tblStyle w:val="8"/>
        <w:tblW w:w="5000" w:type="pct"/>
        <w:tblCellSpacing w:w="15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56"/>
        <w:gridCol w:w="2626"/>
        <w:gridCol w:w="2649"/>
        <w:gridCol w:w="2244"/>
      </w:tblGrid>
      <w:tr w14:paraId="556579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auto" w:sz="0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45F293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维度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77BBA9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本作品（网页版）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66F618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职场类 APP / 网页（BOSS 直聘等）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FBDD4C">
            <w:pPr>
              <w:widowControl/>
              <w:spacing w:line="360" w:lineRule="atLeast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color w:val="000000"/>
                <w:sz w:val="24"/>
                <w:szCs w:val="24"/>
                <w:lang w:bidi="ar"/>
              </w:rPr>
              <w:t>专业合同审查工具（法大大等）</w:t>
            </w:r>
          </w:p>
        </w:tc>
      </w:tr>
      <w:tr w14:paraId="7C57735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FB117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核心场景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D8B2C1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求职权益保护 + AI 互动，聚焦新人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4E716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求职招聘匹配，无权益保护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6052D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企业商业合同审查，适配商务</w:t>
            </w:r>
          </w:p>
        </w:tc>
      </w:tr>
      <w:tr w14:paraId="46678D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F1FF3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功能针对性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D8DCF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强，AI 集成核心功能 + 论坛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A2A0FD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弱，仅岗位展示，无审查功能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06E40C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弱，无求职适配，功能冗余</w:t>
            </w:r>
          </w:p>
        </w:tc>
      </w:tr>
      <w:tr w14:paraId="78E2D53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BBC657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易用性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7B4AEE6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高，网页一键操作，无需下载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6AFB4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中，核心功能需跳转 APP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AF79DD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低，流程复杂，多需付费注册</w:t>
            </w:r>
          </w:p>
        </w:tc>
      </w:tr>
      <w:tr w14:paraId="0533EC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1ABF8E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论坛互动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3367F3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支持发帖 / 评论 / AI 答疑，形成社区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127CC6A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无用户互动功能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D9D100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无任何互动模块</w:t>
            </w:r>
          </w:p>
        </w:tc>
      </w:tr>
      <w:tr w14:paraId="432CE9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4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40B967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网页适配性</w:t>
            </w:r>
          </w:p>
        </w:tc>
        <w:tc>
          <w:tcPr>
            <w:tcW w:w="15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984978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优，响应式布局，支持多端操作</w:t>
            </w:r>
          </w:p>
        </w:tc>
        <w:tc>
          <w:tcPr>
            <w:tcW w:w="156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474C32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一般，仅基础展示</w:t>
            </w:r>
          </w:p>
        </w:tc>
        <w:tc>
          <w:tcPr>
            <w:tcW w:w="131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42FE92">
            <w:pPr>
              <w:widowControl/>
              <w:spacing w:line="360" w:lineRule="atLeast"/>
              <w:jc w:val="left"/>
              <w:rPr>
                <w:color w:val="000000"/>
                <w:sz w:val="24"/>
                <w:szCs w:val="24"/>
              </w:rPr>
            </w:pPr>
            <w:r>
              <w:rPr>
                <w:rFonts w:ascii="宋体" w:hAnsi="宋体" w:cs="宋体"/>
                <w:color w:val="000000"/>
                <w:sz w:val="24"/>
                <w:szCs w:val="24"/>
                <w:lang w:bidi="ar"/>
              </w:rPr>
              <w:t>较差，侧重企业 PC 端</w:t>
            </w:r>
          </w:p>
        </w:tc>
      </w:tr>
    </w:tbl>
    <w:p w14:paraId="2D12313E">
      <w:pPr>
        <w:pStyle w:val="2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第二章 概要设计</w:t>
      </w:r>
    </w:p>
    <w:p w14:paraId="2DF7F436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2.1 功能模块划分</w:t>
      </w:r>
    </w:p>
    <w:p w14:paraId="1C60898C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本系统采用前后端分离的分层模块化架构，以 AI 智能助手为核心，兼顾网页轻量化、响应式特性，共分四层，架构图如下：</w:t>
      </w:r>
    </w:p>
    <w:p w14:paraId="3E896FBD">
      <w:pPr>
        <w:widowControl/>
        <w:spacing w:line="360" w:lineRule="atLeast"/>
        <w:jc w:val="left"/>
        <w:rPr>
          <w:rStyle w:val="10"/>
          <w:rFonts w:hint="eastAsia" w:ascii="宋体" w:hAnsi="宋体" w:cs="宋体"/>
          <w:bCs/>
          <w:color w:val="000000"/>
          <w:sz w:val="24"/>
          <w:szCs w:val="24"/>
          <w:lang w:eastAsia="zh" w:bidi="ar"/>
        </w:rPr>
      </w:pPr>
      <w:r>
        <w:rPr>
          <w:rStyle w:val="10"/>
          <w:rFonts w:hint="eastAsia" w:ascii="宋体" w:hAnsi="宋体" w:cs="宋体"/>
          <w:bCs/>
          <w:color w:val="000000"/>
          <w:sz w:val="24"/>
          <w:szCs w:val="24"/>
          <w:lang w:eastAsia="zh" w:bidi="ar"/>
        </w:rPr>
        <w:drawing>
          <wp:inline distT="0" distB="0" distL="114300" distR="114300">
            <wp:extent cx="4105275" cy="544830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0821F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0"/>
          <w:rFonts w:ascii="宋体" w:hAnsi="宋体" w:cs="宋体"/>
          <w:bCs/>
          <w:color w:val="000000"/>
          <w:sz w:val="24"/>
          <w:szCs w:val="24"/>
          <w:lang w:bidi="ar"/>
        </w:rPr>
        <w:t>图 2-1 系统分层架构图</w:t>
      </w:r>
    </w:p>
    <w:p w14:paraId="77DCBEA4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2.2 系统功能用例图</w:t>
      </w:r>
    </w:p>
    <w:p w14:paraId="6A8AA28B">
      <w:pPr>
        <w:widowControl/>
        <w:spacing w:line="360" w:lineRule="atLeast"/>
        <w:jc w:val="left"/>
        <w:rPr>
          <w:rFonts w:hint="eastAsia" w:ascii="宋体" w:hAnsi="宋体" w:cs="宋体"/>
          <w:color w:val="000000"/>
          <w:sz w:val="24"/>
          <w:szCs w:val="24"/>
          <w:lang w:bidi="ar"/>
        </w:rPr>
      </w:pPr>
      <w:r>
        <w:rPr>
          <w:rFonts w:ascii="宋体" w:hAnsi="宋体" w:cs="宋体"/>
          <w:color w:val="000000"/>
          <w:sz w:val="24"/>
          <w:szCs w:val="24"/>
          <w:lang w:bidi="ar"/>
        </w:rPr>
        <w:t>为清晰界定用户与系统的核心交互逻辑，设计 UML 功能用例图，明确用户唯一参与者与系统四大核心模块的交互关系，通过「包含 / 扩展」关系体现功能聚合与前置安全验证，直观界定系统功能边界。</w:t>
      </w:r>
    </w:p>
    <w:p w14:paraId="638AB032">
      <w:pPr>
        <w:widowControl/>
        <w:spacing w:line="360" w:lineRule="atLeast"/>
        <w:jc w:val="left"/>
        <w:rPr>
          <w:rFonts w:hint="eastAsia" w:ascii="宋体" w:hAnsi="宋体" w:cs="宋体"/>
          <w:color w:val="000000"/>
          <w:sz w:val="24"/>
          <w:szCs w:val="24"/>
          <w:lang w:eastAsia="zh" w:bidi="ar"/>
        </w:rPr>
      </w:pPr>
      <w:bookmarkStart w:id="1" w:name="_GoBack"/>
      <w:r>
        <w:drawing>
          <wp:inline distT="0" distB="0" distL="114300" distR="114300">
            <wp:extent cx="5267325" cy="4335145"/>
            <wp:effectExtent l="0" t="0" r="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 w14:paraId="5A96581D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0"/>
          <w:rFonts w:ascii="宋体" w:hAnsi="宋体" w:cs="宋体"/>
          <w:bCs/>
          <w:color w:val="000000"/>
          <w:sz w:val="24"/>
          <w:szCs w:val="24"/>
          <w:lang w:bidi="ar"/>
        </w:rPr>
        <w:t>图 2-2 系统功能用例图</w:t>
      </w:r>
    </w:p>
    <w:p w14:paraId="54BF243B">
      <w:pPr>
        <w:widowControl/>
        <w:spacing w:line="360" w:lineRule="atLeast"/>
        <w:jc w:val="left"/>
        <w:rPr>
          <w:color w:val="000000"/>
          <w:sz w:val="24"/>
          <w:szCs w:val="24"/>
        </w:rPr>
      </w:pPr>
      <w:r>
        <w:rPr>
          <w:rStyle w:val="10"/>
          <w:rFonts w:ascii="宋体" w:hAnsi="宋体" w:cs="宋体"/>
          <w:bCs/>
          <w:color w:val="000000"/>
          <w:sz w:val="24"/>
          <w:szCs w:val="24"/>
          <w:lang w:bidi="ar"/>
        </w:rPr>
        <w:t>用例关系说明</w:t>
      </w:r>
      <w:r>
        <w:rPr>
          <w:rFonts w:ascii="宋体" w:hAnsi="宋体" w:cs="宋体"/>
          <w:color w:val="000000"/>
          <w:sz w:val="24"/>
          <w:szCs w:val="24"/>
          <w:lang w:bidi="ar"/>
        </w:rPr>
        <w:t>：①关联关系：用户可直接操作 AI 智能助手、求职交流论坛、法律案件与模拟演练、个人主页四大核心模块；②扩展关系：登录 / 注册作为扩展用例，为四大核心模块提供前置安全验证；③包含关系：各核心模块包含其子功能，如 AI 智能助手包含劳动合同审查、求职黑话识别、求职风险评分功能，并可输出相关法律案例与模拟演练入口推荐。</w:t>
      </w:r>
    </w:p>
    <w:p w14:paraId="43DDC127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2.3 模块调用关系</w:t>
      </w:r>
    </w:p>
    <w:p w14:paraId="2D47C737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前端交互层：接收用户文本粘贴、文件上传、论坛操作、功能选择等输入，通过 AJAX 请求将操作指令传递至后端业务层，接收后端返回的 JSON 格式结果后，在网页端高亮渲染展示 AI 识别结果、论坛内容等信息；</w:t>
      </w:r>
    </w:p>
    <w:p w14:paraId="35B25ED9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后端业务层：接收前端请求并分发至对应接口，调用核心引擎层的相关服务，结合数据存储层的资源进行业务处理，处理完成后将结果封装为 JSON 格式返回至前端；核心接口为 AI 智能助手接口、论坛接口、法律案件与模拟演练接口、个人主页功能接口；</w:t>
      </w:r>
    </w:p>
    <w:p w14:paraId="16ED8AD1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核心引擎层：以 AI 智能助手核心引擎为核心，统筹三大智能功能的计算逻辑，同时提供文本解析、关键词匹配、案例标签匹配、通用场景推荐等通用服务，是网页端智能功能、论坛 AI 答疑与案例学习联动的核心技术支撑；</w:t>
      </w:r>
    </w:p>
    <w:p w14:paraId="31F3418D">
      <w:pPr>
        <w:widowControl/>
        <w:numPr>
          <w:ilvl w:val="0"/>
          <w:numId w:val="1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数据存储层：存储劳动法规、求职黑话、风险规则、法律案例与模拟演练场景等静态数据，及论坛内容、个人信息、发帖记录、场景演练记录等动态数据，支持网页端实时调用与动态更新，保障数据准确性与时效性。</w:t>
      </w:r>
    </w:p>
    <w:p w14:paraId="5C269EF4">
      <w:pPr>
        <w:pStyle w:val="3"/>
        <w:widowControl/>
        <w:spacing w:beforeAutospacing="0" w:afterAutospacing="0" w:line="360" w:lineRule="atLeas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2.4 人机界面设计</w:t>
      </w:r>
    </w:p>
    <w:p w14:paraId="50ACE396">
      <w:pPr>
        <w:widowControl/>
        <w:numPr>
          <w:ilvl w:val="0"/>
          <w:numId w:val="2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rStyle w:val="10"/>
          <w:bCs/>
          <w:color w:val="000000"/>
          <w:sz w:val="24"/>
          <w:szCs w:val="24"/>
        </w:rPr>
        <w:t>网页首页：采用卡片式简洁布局，顶部为响应式导航栏，包含 AI 智能助手、求职交流论坛、法律案件与模拟演练、个人主页等核心功能入口；中部为 AI 智能助手统一交互区，支持文本粘贴、文件上传，可一键发起智能服务，并展示典型案例推荐入口；底部为使用说明与版权信息，整体适配电脑、平板等多端视觉体验；</w:t>
      </w:r>
    </w:p>
    <w:p w14:paraId="37CD6A9A">
      <w:pPr>
        <w:widowControl/>
        <w:numPr>
          <w:ilvl w:val="0"/>
          <w:numId w:val="2"/>
        </w:numPr>
        <w:spacing w:line="360" w:lineRule="atLeast"/>
        <w:ind w:left="0"/>
        <w:rPr>
          <w:rStyle w:val="10"/>
          <w:bCs/>
          <w:color w:val="000000"/>
          <w:sz w:val="24"/>
          <w:szCs w:val="24"/>
        </w:rPr>
      </w:pPr>
      <w:r>
        <w:rPr>
          <w:rStyle w:val="10"/>
          <w:bCs/>
          <w:color w:val="000000"/>
          <w:sz w:val="24"/>
          <w:szCs w:val="24"/>
        </w:rPr>
        <w:t>AI 智能助手界面：展示三大核心功能快速切换入口，输入区支持合同文本粘贴、PDF/Word 文件上传，结果展示区高亮标注违法 / 风险条款，同步呈现通俗易懂的法律建议与风险评级，并推荐相关法律案例与模拟演练入口，操作流程一体化；</w:t>
      </w:r>
    </w:p>
    <w:p w14:paraId="59BC8605">
      <w:pPr>
        <w:widowControl/>
        <w:numPr>
          <w:ilvl w:val="0"/>
          <w:numId w:val="2"/>
        </w:numPr>
        <w:spacing w:line="360" w:lineRule="atLeast"/>
        <w:ind w:left="0"/>
        <w:rPr>
          <w:rStyle w:val="10"/>
          <w:rFonts w:hint="eastAsia"/>
          <w:bCs/>
          <w:color w:val="000000"/>
          <w:sz w:val="24"/>
          <w:szCs w:val="24"/>
        </w:rPr>
      </w:pPr>
      <w:r>
        <w:rPr>
          <w:rStyle w:val="10"/>
          <w:rFonts w:hint="eastAsia"/>
          <w:bCs/>
          <w:color w:val="000000"/>
          <w:sz w:val="24"/>
          <w:szCs w:val="24"/>
        </w:rPr>
        <w:t>法律案件与模拟演练界面：采用双栏卡片式布局，左侧为法律案例列表，支持按行业、风险类型与发布时间检索；右侧为模拟演练入口与通用场景列表，展示场景类型与演练要点；案例详情页展示案例正文与案例总结，支持一键跳转相关论坛讨论，形成学习讨论复盘闭环。</w:t>
      </w:r>
    </w:p>
    <w:p w14:paraId="0E578692">
      <w:pPr>
        <w:widowControl/>
        <w:numPr>
          <w:ilvl w:val="0"/>
          <w:numId w:val="2"/>
        </w:numPr>
        <w:spacing w:line="360" w:lineRule="atLeast"/>
        <w:ind w:left="0"/>
        <w:rPr>
          <w:color w:val="000000"/>
          <w:sz w:val="24"/>
          <w:szCs w:val="24"/>
        </w:rPr>
      </w:pPr>
      <w:r>
        <w:rPr>
          <w:rStyle w:val="10"/>
          <w:bCs/>
          <w:color w:val="000000"/>
          <w:sz w:val="24"/>
          <w:szCs w:val="24"/>
        </w:rPr>
        <w:t>求职交流论坛界面：采用分区布局，顶部为搜索栏，可检索求职问题、经验分享等内容；中部为帖子列表，按热门 / 最新排序展示，包含帖子标题、摘要、点赞评论数；右侧为热门话题 / 求助专区；帖子详情页支持评论、收藏，可 @AI 智能助手发起求助并获取实时解答+案例复盘；论坛承担互动交流职能，案例库与场景库在独立的法律案件与模拟演练模块中统一管理。</w:t>
      </w:r>
    </w:p>
    <w:p w14:paraId="4ED249B5">
      <w:pPr>
        <w:widowControl/>
        <w:numPr>
          <w:ilvl w:val="0"/>
          <w:numId w:val="2"/>
        </w:numPr>
        <w:spacing w:line="360" w:lineRule="atLeast"/>
        <w:ind w:left="0"/>
      </w:pPr>
      <w:r>
        <w:rPr>
          <w:rStyle w:val="10"/>
          <w:bCs/>
          <w:color w:val="000000"/>
          <w:sz w:val="24"/>
          <w:szCs w:val="24"/>
        </w:rPr>
        <w:t>个人主页界面</w:t>
      </w:r>
      <w:r>
        <w:rPr>
          <w:color w:val="000000"/>
          <w:sz w:val="24"/>
          <w:szCs w:val="24"/>
        </w:rPr>
        <w:t>：布局简洁清晰，分为个人信息设置、发帖记录管理两大板块，支持个人资料编辑、发帖记录查询、编辑与删除，操作便捷，适配网页端交互习惯。</w:t>
      </w:r>
    </w:p>
    <w:p w14:paraId="74628735">
      <w:pPr>
        <w:widowControl/>
        <w:spacing w:line="360" w:lineRule="atLeast"/>
        <w:ind w:left="-360"/>
      </w:pPr>
    </w:p>
    <w:sectPr>
      <w:pgSz w:w="11905" w:h="16840"/>
      <w:pgMar w:top="1440" w:right="1800" w:bottom="1440" w:left="180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7FF1C9"/>
    <w:multiLevelType w:val="multilevel"/>
    <w:tmpl w:val="937FF1C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BF7775E"/>
    <w:multiLevelType w:val="multilevel"/>
    <w:tmpl w:val="FBF7775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noPunctuationKerning w:val="1"/>
  <w:characterSpacingControl w:val="doNotCompress"/>
  <w:compat>
    <w:balanceSingleByteDoubleByteWidth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7735"/>
    <w:rsid w:val="001457B4"/>
    <w:rsid w:val="00154DFC"/>
    <w:rsid w:val="00350CA7"/>
    <w:rsid w:val="003F1B5F"/>
    <w:rsid w:val="00514B86"/>
    <w:rsid w:val="00563BCA"/>
    <w:rsid w:val="0060422C"/>
    <w:rsid w:val="006F57B9"/>
    <w:rsid w:val="007055FD"/>
    <w:rsid w:val="007905E2"/>
    <w:rsid w:val="00824915"/>
    <w:rsid w:val="00897DE9"/>
    <w:rsid w:val="008B1DD0"/>
    <w:rsid w:val="00937735"/>
    <w:rsid w:val="00964027"/>
    <w:rsid w:val="009C0A73"/>
    <w:rsid w:val="009F4569"/>
    <w:rsid w:val="00AA6AD1"/>
    <w:rsid w:val="00B72A5D"/>
    <w:rsid w:val="00BD0159"/>
    <w:rsid w:val="00CB4D34"/>
    <w:rsid w:val="00D51156"/>
    <w:rsid w:val="00DC74E3"/>
    <w:rsid w:val="00DE2302"/>
    <w:rsid w:val="00E14971"/>
    <w:rsid w:val="00E15D99"/>
    <w:rsid w:val="00E343FA"/>
    <w:rsid w:val="00E96032"/>
    <w:rsid w:val="00ED741B"/>
    <w:rsid w:val="09DB018E"/>
    <w:rsid w:val="10DF1048"/>
    <w:rsid w:val="116816F6"/>
    <w:rsid w:val="2FF8CC44"/>
    <w:rsid w:val="37375FB0"/>
    <w:rsid w:val="45D7B8E5"/>
    <w:rsid w:val="57EFBFD3"/>
    <w:rsid w:val="5EF703DE"/>
    <w:rsid w:val="665EA2CF"/>
    <w:rsid w:val="69C6EB7A"/>
    <w:rsid w:val="6D43240E"/>
    <w:rsid w:val="782D084D"/>
    <w:rsid w:val="7F9B033C"/>
    <w:rsid w:val="7FCEEC58"/>
    <w:rsid w:val="97FE9487"/>
    <w:rsid w:val="ABEA2702"/>
    <w:rsid w:val="BFDB9C5E"/>
    <w:rsid w:val="DDF92B83"/>
    <w:rsid w:val="FB5B64E4"/>
    <w:rsid w:val="FEEF8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/>
      <w:b/>
      <w:bCs/>
      <w:kern w:val="44"/>
      <w:sz w:val="48"/>
      <w:szCs w:val="48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/>
      <w:b/>
      <w:bCs/>
      <w:sz w:val="36"/>
      <w:szCs w:val="36"/>
    </w:rPr>
  </w:style>
  <w:style w:type="character" w:default="1" w:styleId="9">
    <w:name w:val="Default Paragraph Font"/>
    <w:semiHidden/>
    <w:unhideWhenUsed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uiPriority w:val="0"/>
    <w:pPr>
      <w:tabs>
        <w:tab w:val="left" w:pos="1050"/>
        <w:tab w:val="right" w:leader="dot" w:pos="8296"/>
      </w:tabs>
    </w:pPr>
    <w:rPr>
      <w:rFonts w:ascii="等线" w:hAnsi="等线" w:eastAsia="等线"/>
      <w:b/>
      <w:kern w:val="2"/>
      <w:sz w:val="28"/>
      <w:szCs w:val="28"/>
    </w:rPr>
  </w:style>
  <w:style w:type="paragraph" w:styleId="7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sz w:val="24"/>
      <w:szCs w:val="24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qFormat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character" w:customStyle="1" w:styleId="13">
    <w:name w:val="15"/>
    <w:basedOn w:val="9"/>
    <w:qFormat/>
    <w:uiPriority w:val="0"/>
    <w:rPr>
      <w:rFonts w:hint="default" w:ascii="等线" w:hAnsi="等线" w:eastAsia="等线" w:cs="等线"/>
      <w:color w:val="0000FF"/>
      <w:u w:val="single"/>
    </w:rPr>
  </w:style>
  <w:style w:type="character" w:customStyle="1" w:styleId="14">
    <w:name w:val="10"/>
    <w:basedOn w:val="9"/>
    <w:qFormat/>
    <w:uiPriority w:val="0"/>
    <w:rPr>
      <w:rFonts w:hint="default" w:ascii="等线" w:hAnsi="等线" w:eastAsia="等线" w:cs="等线"/>
    </w:rPr>
  </w:style>
  <w:style w:type="character" w:customStyle="1" w:styleId="15">
    <w:name w:val="页眉 字符"/>
    <w:basedOn w:val="9"/>
    <w:link w:val="5"/>
    <w:uiPriority w:val="0"/>
    <w:rPr>
      <w:sz w:val="18"/>
      <w:szCs w:val="18"/>
    </w:rPr>
  </w:style>
  <w:style w:type="character" w:customStyle="1" w:styleId="16">
    <w:name w:val="页脚 字符"/>
    <w:basedOn w:val="9"/>
    <w:link w:val="4"/>
    <w:uiPriority w:val="0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2021</Words>
  <Characters>2081</Characters>
  <Lines>93</Lines>
  <Paragraphs>83</Paragraphs>
  <TotalTime>124</TotalTime>
  <ScaleCrop>false</ScaleCrop>
  <LinksUpToDate>false</LinksUpToDate>
  <CharactersWithSpaces>2303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2026-03-18T10:55:00Z</dcterms:created>
  <dc:creator>Apache POI</dc:creator>
  <cp:lastModifiedBy>袁丽</cp:lastModifiedBy>
  <dcterms:modified xsi:type="dcterms:W3CDTF">2026-03-25T11:46:22Z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719D580D9319743B9015BA6940E447E0_43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eyJoZGlkIjoiYzYzNzdlM2U5ZDI5OWI0NzZlOWVmZjVhYTc3YWFjNGUiLCJ1c2VySWQiOiIxNTA1MjEwNzcxIn0=</vt:lpwstr>
  </property>
</Properties>
</file>