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44D03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各位领导、同事好：</w:t>
      </w:r>
    </w:p>
    <w:p w14:paraId="4CDBD15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本邮件为“新点</w:t>
      </w: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e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交易”</w:t>
      </w: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SaaS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专区成本分析月报（</w:t>
      </w: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2026.1-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{{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月报月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}}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），包括：</w:t>
      </w:r>
    </w:p>
    <w:p w14:paraId="588FE992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预警基线及预警规则说明   </w:t>
      </w:r>
    </w:p>
    <w:p w14:paraId="3A69CC8F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leftChars="0" w:right="0" w:rightChars="0" w:firstLine="0" w:firstLineChars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本期专区整体数据（2026.1-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{{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月报月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}}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）   </w:t>
      </w:r>
    </w:p>
    <w:p w14:paraId="166CEA81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leftChars="0" w:right="0" w:rightChars="0" w:firstLine="0" w:firstLineChars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分等级专区明细   </w:t>
      </w:r>
    </w:p>
    <w:p w14:paraId="7F7FFC5A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leftChars="0" w:right="0" w:rightChars="0" w:firstLine="0" w:firstLineChars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风险说明   </w:t>
      </w:r>
      <w:bookmarkStart w:id="0" w:name="_GoBack"/>
      <w:bookmarkEnd w:id="0"/>
    </w:p>
    <w:p w14:paraId="57B69E66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Chars="0" w:right="0" w:rightChars="0"/>
        <w:jc w:val="both"/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</w:pPr>
      <w:r>
        <w:rPr>
          <w:rFonts w:hint="default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5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、下一步行动</w:t>
      </w:r>
    </w:p>
    <w:p w14:paraId="380DEE2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  <w:shd w:val="clear" w:fill="FFFFFF"/>
        </w:rPr>
        <w:t> </w:t>
      </w:r>
    </w:p>
    <w:p w14:paraId="6965B8C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一、预算基线及预警规则说明</w:t>
      </w:r>
    </w:p>
    <w:p w14:paraId="4749A51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1. 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预算基线标准</w:t>
      </w:r>
    </w:p>
    <w:p w14:paraId="7A11FB6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初始化预算：专区上线前定额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3.2万元</w:t>
      </w:r>
    </w:p>
    <w:p w14:paraId="6FD2220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试运行预算：专区上线后 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3个月内1.8万元</w:t>
      </w:r>
    </w:p>
    <w:p w14:paraId="4AD8BF01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单个专区核定预算：按初始化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/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试运行标准执行，作为预算使用率计算基数</w:t>
      </w:r>
    </w:p>
    <w:p w14:paraId="3C105BB1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2. 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预警等级与判定规则</w:t>
      </w:r>
    </w:p>
    <w:p w14:paraId="6EB26BD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判定优先级：红色 ＞ 橙色 ＞ 黄色 ＞ 绿色</w:t>
      </w:r>
    </w:p>
    <w:tbl>
      <w:tblPr>
        <w:tblStyle w:val="3"/>
        <w:tblW w:w="0" w:type="auto"/>
        <w:tblInd w:w="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outset" w:color="auto" w:sz="6" w:space="0"/>
          <w:insideV w:val="outset" w:color="auto" w:sz="6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0"/>
        <w:gridCol w:w="5110"/>
        <w:gridCol w:w="3260"/>
      </w:tblGrid>
      <w:tr w14:paraId="1D5D9587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outset" w:color="auto" w:sz="6" w:space="0"/>
            <w:insideV w:val="outset" w:color="auto" w:sz="6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2EBBF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预警等级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6451B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判定条件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58892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管理动作</w:t>
            </w:r>
          </w:p>
        </w:tc>
      </w:tr>
      <w:tr w14:paraId="6EE06A35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outset" w:color="auto" w:sz="6" w:space="0"/>
            <w:insideV w:val="outset" w:color="auto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1C1F4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红色（考虑关闭）</w:t>
            </w: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893AB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1. 预算使用率≥100% 且 实际收益 = 0；</w:t>
            </w:r>
          </w:p>
          <w:p w14:paraId="120DA92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2. 长期无收益专区</w:t>
            </w: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15581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考虑关停预算，关闭专区</w:t>
            </w:r>
          </w:p>
        </w:tc>
      </w:tr>
      <w:tr w14:paraId="6A53382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outset" w:color="auto" w:sz="6" w:space="0"/>
            <w:insideV w:val="outset" w:color="auto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3B014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橙色（需改进）</w:t>
            </w: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3F03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满足任一：</w:t>
            </w:r>
          </w:p>
          <w:p w14:paraId="635474E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1. 50%≤预算使用率＜100% 且 收入成本比＜1；</w:t>
            </w:r>
          </w:p>
          <w:p w14:paraId="7D395B0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2. 预算使用率≥100% 、 实际收益＞0且收入成本比＜1</w:t>
            </w: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65819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商务 7 个工作日内反馈改进措施</w:t>
            </w:r>
          </w:p>
        </w:tc>
      </w:tr>
      <w:tr w14:paraId="21413ACD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outset" w:color="auto" w:sz="6" w:space="0"/>
            <w:insideV w:val="outset" w:color="auto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0C6022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黄色（持续关注）</w:t>
            </w: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00C41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30%≤预算使用率＜50%且 实际收益 = 0</w:t>
            </w: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16200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持续跟踪使用情况，推动运营上量</w:t>
            </w:r>
          </w:p>
        </w:tc>
      </w:tr>
      <w:tr w14:paraId="193D5B52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outset" w:color="auto" w:sz="6" w:space="0"/>
            <w:insideV w:val="outset" w:color="auto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BB10F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绿色（良性运营）</w:t>
            </w: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06F77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收入成本比≥1.72</w:t>
            </w:r>
          </w:p>
        </w:tc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DDBEE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15" w:lineRule="atLeast"/>
              <w:ind w:left="0" w:right="0"/>
              <w:jc w:val="left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保持运营，复制高效经验</w:t>
            </w:r>
          </w:p>
        </w:tc>
      </w:tr>
    </w:tbl>
    <w:p w14:paraId="4EC5742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0"/>
          <w:szCs w:val="20"/>
          <w:shd w:val="clear" w:fill="FFFFFF"/>
        </w:rPr>
        <w:t>注：核心指标口径</w:t>
      </w:r>
    </w:p>
    <w:p w14:paraId="244D9A7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0"/>
          <w:szCs w:val="20"/>
          <w:shd w:val="clear" w:fill="FFFFFF"/>
        </w:rPr>
        <w:t>预算使用率 </w:t>
      </w:r>
      <w:r>
        <w:rPr>
          <w:rFonts w:hint="default" w:ascii="Calibri" w:hAnsi="Calibri" w:eastAsia="宋体" w:cs="Calibri"/>
          <w:i w:val="0"/>
          <w:iCs w:val="0"/>
          <w:caps w:val="0"/>
          <w:color w:val="FF0000"/>
          <w:spacing w:val="0"/>
          <w:sz w:val="20"/>
          <w:szCs w:val="20"/>
          <w:shd w:val="clear" w:fill="FFFFFF"/>
        </w:rPr>
        <w:t>= </w:t>
      </w:r>
      <w:r>
        <w:rPr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0"/>
          <w:szCs w:val="20"/>
          <w:shd w:val="clear" w:fill="FFFFFF"/>
        </w:rPr>
        <w:t>已使用预算 ÷ 核定预算 × </w:t>
      </w:r>
      <w:r>
        <w:rPr>
          <w:rFonts w:hint="default" w:ascii="Calibri" w:hAnsi="Calibri" w:eastAsia="宋体" w:cs="Calibri"/>
          <w:i w:val="0"/>
          <w:iCs w:val="0"/>
          <w:caps w:val="0"/>
          <w:color w:val="FF0000"/>
          <w:spacing w:val="0"/>
          <w:sz w:val="20"/>
          <w:szCs w:val="20"/>
          <w:shd w:val="clear" w:fill="FFFFFF"/>
        </w:rPr>
        <w:t>100%</w:t>
      </w:r>
    </w:p>
    <w:p w14:paraId="14729FA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0"/>
          <w:szCs w:val="20"/>
          <w:shd w:val="clear" w:fill="FFFFFF"/>
        </w:rPr>
        <w:t>收入成本比 </w:t>
      </w:r>
      <w:r>
        <w:rPr>
          <w:rFonts w:hint="default" w:ascii="Calibri" w:hAnsi="Calibri" w:eastAsia="宋体" w:cs="Calibri"/>
          <w:i w:val="0"/>
          <w:iCs w:val="0"/>
          <w:caps w:val="0"/>
          <w:color w:val="FF0000"/>
          <w:spacing w:val="0"/>
          <w:sz w:val="20"/>
          <w:szCs w:val="20"/>
          <w:shd w:val="clear" w:fill="FFFFFF"/>
        </w:rPr>
        <w:t>= </w:t>
      </w:r>
      <w:r>
        <w:rPr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0"/>
          <w:szCs w:val="20"/>
          <w:shd w:val="clear" w:fill="FFFFFF"/>
        </w:rPr>
        <w:t>实际运营收益 ÷ 已使用预算</w:t>
      </w:r>
    </w:p>
    <w:p w14:paraId="6E833E55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0"/>
          <w:szCs w:val="20"/>
          <w:shd w:val="clear" w:fill="FFFFFF"/>
        </w:rPr>
        <w:t>实际运营收益：专区当期产生的有效收益</w:t>
      </w:r>
    </w:p>
    <w:p w14:paraId="3818BC3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二、本期专区整体数据（</w:t>
      </w:r>
      <w:r>
        <w:rPr>
          <w:rFonts w:hint="default" w:ascii="Calibri" w:hAnsi="Calibri" w:eastAsia="宋体" w:cs="Calibri"/>
          <w:b/>
          <w:bCs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2026.1-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{{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月报月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}}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）</w:t>
      </w:r>
    </w:p>
    <w:p w14:paraId="292716D8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统计范围：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SaaS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专区全量成本与收益数据</w:t>
      </w:r>
    </w:p>
    <w:p w14:paraId="70930DD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预算使用总额：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{{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预算使用总额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}}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 元</w:t>
      </w:r>
    </w:p>
    <w:p w14:paraId="73E1624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实际运营收益：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{{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实际运营收益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 xml:space="preserve">}}  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元</w:t>
      </w:r>
    </w:p>
    <w:p w14:paraId="42C88E8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有成本投入专区总数：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{{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有成本投入专区总数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}}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 个</w:t>
      </w:r>
    </w:p>
    <w:p w14:paraId="18C2963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等级分布：</w:t>
      </w:r>
    </w:p>
    <w:p w14:paraId="0DAEB10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红色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- </w:t>
      </w:r>
      <w:r>
        <w:rPr>
          <w:rFonts w:hint="eastAsia" w:ascii="宋体" w:hAnsi="宋体" w:eastAsia="宋体" w:cs="宋体"/>
          <w:i w:val="0"/>
          <w:iCs w:val="0"/>
          <w:caps w:val="0"/>
          <w:color w:val="3D4B64"/>
          <w:spacing w:val="0"/>
          <w:sz w:val="20"/>
          <w:szCs w:val="20"/>
          <w:shd w:val="clear" w:fill="FFFFFF"/>
        </w:rPr>
        <w:t>考虑关闭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专区：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{{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红色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 xml:space="preserve">}} 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个</w:t>
      </w:r>
    </w:p>
    <w:p w14:paraId="5828F906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橙色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-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需改进专区：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 xml:space="preserve">  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{{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橙色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}}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 xml:space="preserve"> 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个</w:t>
      </w:r>
    </w:p>
    <w:p w14:paraId="1EB92B1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黄色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-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持续关注专区：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{{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黄色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 xml:space="preserve">}} 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个</w:t>
      </w:r>
    </w:p>
    <w:p w14:paraId="2B91063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绿色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-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良性运营专区：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{{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绿色</w:t>
      </w:r>
      <w:r>
        <w:rPr>
          <w:rFonts w:hint="eastAsia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>}}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  <w:lang w:val="en-US" w:eastAsia="zh-CN"/>
        </w:rPr>
        <w:t xml:space="preserve"> 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个</w:t>
      </w:r>
    </w:p>
    <w:p w14:paraId="1368A0A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三、分等级专区明细</w:t>
      </w:r>
    </w:p>
    <w:p w14:paraId="2CB21AB0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3.1 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红色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- </w:t>
      </w:r>
      <w:r>
        <w:rPr>
          <w:rFonts w:hint="eastAsia" w:ascii="宋体" w:hAnsi="宋体" w:eastAsia="宋体" w:cs="宋体"/>
          <w:i w:val="0"/>
          <w:iCs w:val="0"/>
          <w:caps w:val="0"/>
          <w:color w:val="3D4B64"/>
          <w:spacing w:val="0"/>
          <w:sz w:val="20"/>
          <w:szCs w:val="20"/>
          <w:shd w:val="clear" w:fill="FFFFFF"/>
        </w:rPr>
        <w:t>考虑关闭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专区</w:t>
      </w:r>
    </w:p>
    <w:tbl>
      <w:tblPr>
        <w:tblStyle w:val="3"/>
        <w:tblW w:w="1344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8"/>
        <w:gridCol w:w="1124"/>
        <w:gridCol w:w="1400"/>
        <w:gridCol w:w="1400"/>
        <w:gridCol w:w="848"/>
        <w:gridCol w:w="1400"/>
        <w:gridCol w:w="1401"/>
        <w:gridCol w:w="1676"/>
        <w:gridCol w:w="1676"/>
        <w:gridCol w:w="1676"/>
      </w:tblGrid>
      <w:tr w14:paraId="63B4DC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2" w:hRule="atLeast"/>
          <w:tblHeader/>
          <w:jc w:val="center"/>
        </w:trPr>
        <w:tc>
          <w:tcPr>
            <w:tcW w:w="8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42A0B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序号</w:t>
            </w:r>
          </w:p>
        </w:tc>
        <w:tc>
          <w:tcPr>
            <w:tcW w:w="112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A2B9E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分公司</w:t>
            </w: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81337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合同编号</w:t>
            </w: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85DC5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专区名称</w:t>
            </w:r>
          </w:p>
        </w:tc>
        <w:tc>
          <w:tcPr>
            <w:tcW w:w="84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B2B2D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商务</w:t>
            </w: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E735B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预算使用</w:t>
            </w:r>
          </w:p>
        </w:tc>
        <w:tc>
          <w:tcPr>
            <w:tcW w:w="140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3B77B2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核定总额</w:t>
            </w:r>
          </w:p>
        </w:tc>
        <w:tc>
          <w:tcPr>
            <w:tcW w:w="167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3D780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预算使用率</w:t>
            </w:r>
          </w:p>
        </w:tc>
        <w:tc>
          <w:tcPr>
            <w:tcW w:w="167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B018D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收入成本比</w:t>
            </w:r>
          </w:p>
        </w:tc>
        <w:tc>
          <w:tcPr>
            <w:tcW w:w="167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4E26AE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  <w:lang w:val="en-US" w:eastAsia="zh-CN"/>
              </w:rPr>
              <w:t>专区属性</w:t>
            </w:r>
          </w:p>
        </w:tc>
      </w:tr>
      <w:tr w14:paraId="6F3970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CFA1E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12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5582A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4B303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A76AA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84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3726D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93B07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0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C0AD7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67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35C13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67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1A8D2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67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F36A7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</w:tr>
    </w:tbl>
    <w:p w14:paraId="08C7F22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3.2 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橙色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-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需改进专区</w:t>
      </w:r>
    </w:p>
    <w:tbl>
      <w:tblPr>
        <w:tblStyle w:val="3"/>
        <w:tblW w:w="1344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61"/>
        <w:gridCol w:w="1050"/>
        <w:gridCol w:w="1430"/>
        <w:gridCol w:w="1430"/>
        <w:gridCol w:w="864"/>
        <w:gridCol w:w="1430"/>
        <w:gridCol w:w="1430"/>
        <w:gridCol w:w="1710"/>
        <w:gridCol w:w="1712"/>
        <w:gridCol w:w="1432"/>
      </w:tblGrid>
      <w:tr w14:paraId="3BBCA7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9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67E4D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序号</w:t>
            </w:r>
          </w:p>
        </w:tc>
        <w:tc>
          <w:tcPr>
            <w:tcW w:w="10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C7B19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分公司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7724D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合同编号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62BC0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专区名称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6C5FE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商务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60213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预算使用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5F1BE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核定总额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3B677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预算使用率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65BCE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收入成本比</w:t>
            </w:r>
          </w:p>
        </w:tc>
        <w:tc>
          <w:tcPr>
            <w:tcW w:w="14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6DE0D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  <w:t>专区属性</w:t>
            </w:r>
          </w:p>
        </w:tc>
      </w:tr>
      <w:tr w14:paraId="2D613F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5E2D8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56F4A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28CEE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BA1C2E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99719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DEB60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879FD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B6383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2F6F0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BCB13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</w:tr>
      <w:tr w14:paraId="10DE72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4E4E4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2B074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339EA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920D4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6DC1C2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77DD0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E33B3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6F1D2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386CB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C7005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</w:tr>
      <w:tr w14:paraId="11F143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1C91A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8813A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FA977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494C4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6AB25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918F6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65EFF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ECC55E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27D93E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30035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</w:tr>
      <w:tr w14:paraId="5D1CCA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639B72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2EF08D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6F79F2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040AA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BFD59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59A0B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EF889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5F417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3F3D2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06F50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</w:tr>
      <w:tr w14:paraId="0FED92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EBAE5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78B1E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6DD0A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F0E5D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CC551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646B7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7C44A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3DCF7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DA3A5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2E74D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</w:tr>
      <w:tr w14:paraId="7B7855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F571FD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D0EE8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026B9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E70E0D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300A72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71AB6E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BC1B4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77F9B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78B9D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F7C96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</w:tr>
      <w:tr w14:paraId="3E79C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4BBB7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04CE4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3BFF0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EDF0EE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EC2FA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F2AD22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5305F2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C3519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BAE52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BF04F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</w:tr>
      <w:tr w14:paraId="312147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C511F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FA062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E9898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DDDE0D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AA7292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7E047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128B92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A0F832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4DCE7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0AEDC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</w:tr>
      <w:tr w14:paraId="6E078A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0E5F2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0AC4B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71350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92661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BD879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C654A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64702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9DC3F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BE518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2B10A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</w:tr>
      <w:tr w14:paraId="3A8DB2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3566C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28B7B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49A35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9AAF4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A8237E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836CF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9CB24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5E486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CA27E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FB5CE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</w:tr>
      <w:tr w14:paraId="272DE4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5F5A4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91EF5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1810E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E3149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3651D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F6523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A457A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76EA9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6028E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FFB87D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</w:tr>
      <w:tr w14:paraId="024112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C18D1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3BB8E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8E9FA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5830D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3710C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322D5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42E64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381CB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5A967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4A2E5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</w:tr>
      <w:tr w14:paraId="2361C9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077BF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CB03F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373CDD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29E95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19562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6F4AC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5F35B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76DE1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37A55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0CF522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</w:tr>
      <w:tr w14:paraId="106C12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DA1DA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9919B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78073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DA889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87A3B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BF9C1E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ECF52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9C89D2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B9F48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B754E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</w:tr>
      <w:tr w14:paraId="380680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A121B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0D855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82254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3B93E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5C306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4495F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27C95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22EC9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98FCB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C9899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</w:tr>
      <w:tr w14:paraId="3F1937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D582B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6AE5D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BA684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3DB8D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97B8E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ECBF4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1DF65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06B982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33E7B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78637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</w:tr>
      <w:tr w14:paraId="4D2D55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BDB35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0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AC615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BFF7E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FE765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86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AE998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4955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F46B6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52256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712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65FBF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  <w:tc>
          <w:tcPr>
            <w:tcW w:w="14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FCEC6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 w:val="20"/>
                <w:szCs w:val="20"/>
              </w:rPr>
            </w:pPr>
          </w:p>
        </w:tc>
      </w:tr>
    </w:tbl>
    <w:p w14:paraId="49C8A61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3.3 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黄色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-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持续关注专区</w:t>
      </w:r>
    </w:p>
    <w:tbl>
      <w:tblPr>
        <w:tblStyle w:val="3"/>
        <w:tblW w:w="1344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8"/>
        <w:gridCol w:w="1400"/>
        <w:gridCol w:w="1400"/>
        <w:gridCol w:w="1400"/>
        <w:gridCol w:w="848"/>
        <w:gridCol w:w="1400"/>
        <w:gridCol w:w="1400"/>
        <w:gridCol w:w="1675"/>
        <w:gridCol w:w="1675"/>
        <w:gridCol w:w="1400"/>
      </w:tblGrid>
      <w:tr w14:paraId="3CF605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7DF51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  <w:t>序号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8E679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  <w:t>专区名称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2E35ED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  <w:t>合同编号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F5F5D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  <w:t>专区名称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6A8BD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  <w:t>商务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71CC6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  <w:t>预算使用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37561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  <w:t>核定总额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B2780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  <w:t>预算使用率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EBC04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  <w:t>收入成本比</w:t>
            </w: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3B185E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default" w:ascii="宋体" w:hAnsi="Calibri" w:eastAsia="宋体" w:cs="Calibri"/>
                <w:b/>
                <w:sz w:val="20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  <w:t>专区属性</w:t>
            </w:r>
          </w:p>
        </w:tc>
      </w:tr>
      <w:tr w14:paraId="2AC60E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78CED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B975F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5EFEE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BD0A9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3DE27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2D0F3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6FE40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69900E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3A6A9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92391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</w:tr>
      <w:tr w14:paraId="2DC463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E5DC6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C678C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82F79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F504F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5802D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3EA28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13F6E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771CE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92E0A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193B3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</w:tr>
      <w:tr w14:paraId="5D2DCD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C7B46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C644A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1E885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88FB4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99D39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9ED63E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041A4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871E4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6B02F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20627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</w:tr>
      <w:tr w14:paraId="6C2663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1715F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FB662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283BF4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9F709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BC359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12014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0B347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BD432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E58C6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B2ACE2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</w:tr>
      <w:tr w14:paraId="3B6DEB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C478FD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D88C6D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2D369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FA0A9D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994B8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B20EB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CD8CF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7849E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DFC83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AD738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</w:tr>
      <w:tr w14:paraId="2FBA69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F8354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F113D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7BD4E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0927AD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A7134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E273D2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2E733D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CC67F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94341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FA869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</w:tr>
      <w:tr w14:paraId="7F2796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98703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E6EFD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C5284D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3E65C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D95C1E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A41F6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09ED1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5E4C4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3AB10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BC5E9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</w:tr>
      <w:tr w14:paraId="58A720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3800E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62C29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8C349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D3583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40771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FD1EA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7EADC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60F64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AB14E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82A19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</w:tr>
      <w:tr w14:paraId="5E36DB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511C3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D1B54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833FA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69E25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0B56B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40573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EA7D5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C0584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891C2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8D86AE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</w:tr>
      <w:tr w14:paraId="5D1813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0FC05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FE6BB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76421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A999E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BE466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7138B1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22AF0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14F48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6F8F1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0572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</w:tr>
      <w:tr w14:paraId="7075A6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394A2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30CF5E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3B413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49CF4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E4A9B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B4BD12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FA53D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60BAD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3A0F3D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2DDA3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</w:tr>
      <w:tr w14:paraId="293332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2B4F1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A6146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BD7F5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6053D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F4764E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2FEFE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5B813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C2EB98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7CC36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433A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</w:tr>
      <w:tr w14:paraId="30C160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3AC6CD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44032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12D10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C1EBAB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04C0C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4CC69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F22B8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935193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BE647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2AEA3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</w:tr>
      <w:tr w14:paraId="11E2A3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C2988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F224DD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3AB692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E7893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758BB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33BC3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B8834F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E75172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017F8D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0D2C8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</w:tr>
      <w:tr w14:paraId="05D843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8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42445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0DB1A9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763DE6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12A00A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84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ACD5B5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58BA30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4F4E34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6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FE5E4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6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A3CDE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8ABF5C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0"/>
                <w:szCs w:val="20"/>
              </w:rPr>
            </w:pPr>
          </w:p>
        </w:tc>
      </w:tr>
    </w:tbl>
    <w:p w14:paraId="0C7D5BA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四、风险说明</w:t>
      </w:r>
    </w:p>
    <w:p w14:paraId="44950C0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红色专区存在预算投入无产出、资源浪费风险，需</w:t>
      </w:r>
      <w:r>
        <w:rPr>
          <w:rFonts w:hint="eastAsia" w:ascii="宋体" w:hAnsi="宋体" w:eastAsia="宋体" w:cs="宋体"/>
          <w:i w:val="0"/>
          <w:iCs w:val="0"/>
          <w:caps w:val="0"/>
          <w:color w:val="3D4B64"/>
          <w:spacing w:val="0"/>
          <w:sz w:val="20"/>
          <w:szCs w:val="20"/>
          <w:shd w:val="clear" w:fill="FFFFFF"/>
        </w:rPr>
        <w:t>考虑关闭预算，关停专区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，避免无效成本扩大。</w:t>
      </w:r>
    </w:p>
    <w:p w14:paraId="6FDB2F4B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橙色专区投入产出未达标，运营效率偏低，若不及时优化，将持续产生低效投入，影响整体成本效益。</w:t>
      </w:r>
    </w:p>
    <w:p w14:paraId="346A2C63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黄色专区业务尚未有效启动，存在预算长期闲置、业务孵化失败的潜在风险，需重点关注并推动运营上量。</w:t>
      </w:r>
    </w:p>
    <w:p w14:paraId="00FECACA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五、下一步行动计划</w:t>
      </w:r>
    </w:p>
    <w:p w14:paraId="4A54024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红色专区：商务确认，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 个工作日内不反馈意见，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PMO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将关闭预算。</w:t>
      </w:r>
    </w:p>
    <w:p w14:paraId="51739BA2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橙色专区：商务人员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7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 个工作日内提交改进措施。</w:t>
      </w:r>
    </w:p>
    <w:p w14:paraId="4F82ECE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15" w:lineRule="atLeast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黄色专区：运营每周跟踪上量进度，限期实现收益突破。</w:t>
      </w:r>
    </w:p>
    <w:p w14:paraId="7B04D00C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3D4B64"/>
          <w:spacing w:val="0"/>
          <w:sz w:val="21"/>
          <w:szCs w:val="21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绿色专区：总结运营方法，形成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SOP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  <w:shd w:val="clear" w:fill="FFFFFF"/>
        </w:rPr>
        <w:t>，在全公司推广复制。</w:t>
      </w:r>
    </w:p>
    <w:p w14:paraId="77ACE59E"/>
    <w:sectPr>
      <w:pgSz w:w="16838" w:h="23811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A946DA9"/>
    <w:multiLevelType w:val="singleLevel"/>
    <w:tmpl w:val="2A946DA9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0F0F57"/>
    <w:rsid w:val="020D6035"/>
    <w:rsid w:val="11170146"/>
    <w:rsid w:val="116643C3"/>
    <w:rsid w:val="11C0463D"/>
    <w:rsid w:val="120A60E3"/>
    <w:rsid w:val="19DF187E"/>
    <w:rsid w:val="1C44215F"/>
    <w:rsid w:val="1EC77C79"/>
    <w:rsid w:val="2A8278A7"/>
    <w:rsid w:val="49060960"/>
    <w:rsid w:val="51FD550B"/>
    <w:rsid w:val="575F3482"/>
    <w:rsid w:val="5DD10D54"/>
    <w:rsid w:val="5F202E74"/>
    <w:rsid w:val="5FAF380A"/>
    <w:rsid w:val="610F0F57"/>
    <w:rsid w:val="74BC6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989</Words>
  <Characters>1071</Characters>
  <Lines>0</Lines>
  <Paragraphs>0</Paragraphs>
  <TotalTime>0</TotalTime>
  <ScaleCrop>false</ScaleCrop>
  <LinksUpToDate>false</LinksUpToDate>
  <CharactersWithSpaces>1155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2026-05-07T07:25:00Z</dcterms:created>
  <dc:creator>lix</dc:creator>
  <cp:lastModifiedBy>珊瑚海</cp:lastModifiedBy>
  <dcterms:modified xsi:type="dcterms:W3CDTF">2026-07-06T06:04:14Z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649AA289024A455485B1DF04E160BA50_11</vt:lpwstr>
  </property>
  <property fmtid="{D5CDD505-2E9C-101B-9397-08002B2CF9AE}" pid="4" name="KSOTemplateDocerSaveRecord">
    <vt:lpwstr>eyJoZGlkIjoiZTBmYjE5N2M0MWMwYjdlNjg5ZDAxZTlhM2VlOWNkYjkiLCJ1c2VySWQiOiIxMjg4MjcyNTI4In0=</vt:lpwstr>
  </property>
</Properties>
</file>