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Controles ISO 27001:2022 para la Confidencialidad</w:t>
      </w:r>
    </w:p>
    <w:p>
      <w:pPr>
        <w:spacing w:after="80"/>
        <w:jc w:val="center"/>
      </w:pPr>
      <w:r>
        <w:rPr>
          <w:rFonts w:ascii="Times New Roman" w:cs="Times New Roman" w:eastAsia="Times New Roman" w:hAnsi="Times New Roman"/>
          <w:b/>
          <w:bCs/>
          <w:sz w:val="26"/>
          <w:szCs w:val="26"/>
        </w:rPr>
        <w:t xml:space="preserve">en Administración de Bases de Datos</w:t>
      </w:r>
    </w:p>
    <w:p>
      <w:pPr>
        <w:spacing w:after="300"/>
        <w:jc w:val="center"/>
      </w:pPr>
      <w:r>
        <w:rPr>
          <w:rFonts w:ascii="Times New Roman" w:cs="Times New Roman" w:eastAsia="Times New Roman" w:hAnsi="Times New Roman"/>
          <w:i/>
          <w:iCs/>
          <w:sz w:val="24"/>
          <w:szCs w:val="24"/>
        </w:rPr>
        <w:t xml:space="preserve">Marco Teórico</w:t>
      </w:r>
    </w:p>
    <w:p>
      <w:pPr>
        <w:spacing w:after="400"/>
        <w:jc w:val="center"/>
      </w:pPr>
      <w:r>
        <w:rPr>
          <w:rFonts w:ascii="Times New Roman" w:cs="Times New Roman" w:eastAsia="Times New Roman" w:hAnsi="Times New Roman"/>
          <w:sz w:val="20"/>
          <w:szCs w:val="20"/>
        </w:rPr>
        <w:t xml:space="preserve">Curso: Administración de Bases de Datos  |  Prof. Johnny Villalobos Murillo</w:t>
      </w:r>
    </w:p>
    <w:p>
      <w:pPr>
        <w:pStyle w:val="Heading1"/>
      </w:pPr>
      <w:r>
        <w:rPr>
          <w:rFonts w:ascii="Times New Roman" w:cs="Times New Roman" w:eastAsia="Times New Roman" w:hAnsi="Times New Roman"/>
          <w:b/>
          <w:bCs/>
          <w:sz w:val="28"/>
          <w:szCs w:val="28"/>
        </w:rPr>
        <w:t xml:space="preserve">5. Análisis de temas relacionados (Marco teórico)</w:t>
      </w:r>
    </w:p>
    <w:p>
      <w:pPr>
        <w:pStyle w:val="Heading2"/>
      </w:pPr>
      <w:r>
        <w:rPr>
          <w:rFonts w:ascii="Times New Roman" w:cs="Times New Roman" w:eastAsia="Times New Roman" w:hAnsi="Times New Roman"/>
          <w:b/>
          <w:bCs/>
          <w:sz w:val="26"/>
          <w:szCs w:val="26"/>
        </w:rPr>
        <w:t xml:space="preserve">5.1 Cambios de ISO/IEC 27001:2022 respecto a la edición 2013</w:t>
      </w:r>
    </w:p>
    <w:p>
      <w:pPr>
        <w:spacing w:after="200" w:line="360"/>
      </w:pPr>
      <w:r>
        <w:rPr>
          <w:rFonts w:ascii="Times New Roman" w:cs="Times New Roman" w:eastAsia="Times New Roman" w:hAnsi="Times New Roman"/>
          <w:sz w:val="24"/>
          <w:szCs w:val="24"/>
        </w:rPr>
        <w:t xml:space="preserve">La norma ISO/IEC 27001:2022 mantiene la estructura de sistema de gestión de la seguridad de la información (cláusulas 4 a 10) con cambios menores, pero introduce una reestructuración significativa del Anexo A. Mientras que la edición 2013 contenía 114 controles organizados en 14 dominios, la versión 2022 reduce el número a </w:t>
      </w:r>
      <w:r>
        <w:rPr>
          <w:rFonts w:ascii="Times New Roman" w:cs="Times New Roman" w:eastAsia="Times New Roman" w:hAnsi="Times New Roman"/>
          <w:b/>
          <w:bCs/>
          <w:sz w:val="24"/>
          <w:szCs w:val="24"/>
        </w:rPr>
        <w:t xml:space="preserve">93 controles</w:t>
      </w:r>
      <w:r>
        <w:rPr>
          <w:rFonts w:ascii="Times New Roman" w:cs="Times New Roman" w:eastAsia="Times New Roman" w:hAnsi="Times New Roman"/>
          <w:sz w:val="24"/>
          <w:szCs w:val="24"/>
        </w:rPr>
        <w:t xml:space="preserve"> agrupados en </w:t>
      </w:r>
      <w:r>
        <w:rPr>
          <w:rFonts w:ascii="Times New Roman" w:cs="Times New Roman" w:eastAsia="Times New Roman" w:hAnsi="Times New Roman"/>
          <w:b/>
          <w:bCs/>
          <w:sz w:val="24"/>
          <w:szCs w:val="24"/>
        </w:rPr>
        <w:t xml:space="preserve">cuatro temas</w:t>
      </w:r>
      <w:r>
        <w:rPr>
          <w:rFonts w:ascii="Times New Roman" w:cs="Times New Roman" w:eastAsia="Times New Roman" w:hAnsi="Times New Roman"/>
          <w:sz w:val="24"/>
          <w:szCs w:val="24"/>
        </w:rPr>
        <w:t xml:space="preserve">:</w:t>
      </w:r>
    </w:p>
    <w:p>
      <w:pPr>
        <w:pStyle w:val="ListParagraph"/>
        <w:numPr>
          <w:ilvl w:val="0"/>
          <w:numId w:val="2"/>
        </w:numPr>
        <w:spacing w:after="80" w:line="360"/>
      </w:pPr>
      <w:r>
        <w:rPr>
          <w:rFonts w:ascii="Times New Roman" w:cs="Times New Roman" w:eastAsia="Times New Roman" w:hAnsi="Times New Roman"/>
          <w:sz w:val="24"/>
          <w:szCs w:val="24"/>
        </w:rPr>
        <w:t xml:space="preserve">Organizacionales (A.5.1–A.5.37): 37 controles</w:t>
      </w:r>
    </w:p>
    <w:p>
      <w:pPr>
        <w:pStyle w:val="ListParagraph"/>
        <w:numPr>
          <w:ilvl w:val="0"/>
          <w:numId w:val="2"/>
        </w:numPr>
        <w:spacing w:after="80" w:line="360"/>
      </w:pPr>
      <w:r>
        <w:rPr>
          <w:rFonts w:ascii="Times New Roman" w:cs="Times New Roman" w:eastAsia="Times New Roman" w:hAnsi="Times New Roman"/>
          <w:sz w:val="24"/>
          <w:szCs w:val="24"/>
        </w:rPr>
        <w:t xml:space="preserve">Personas (A.6.1–A.6.8): 8 controles</w:t>
      </w:r>
    </w:p>
    <w:p>
      <w:pPr>
        <w:pStyle w:val="ListParagraph"/>
        <w:numPr>
          <w:ilvl w:val="0"/>
          <w:numId w:val="2"/>
        </w:numPr>
        <w:spacing w:after="80" w:line="360"/>
      </w:pPr>
      <w:r>
        <w:rPr>
          <w:rFonts w:ascii="Times New Roman" w:cs="Times New Roman" w:eastAsia="Times New Roman" w:hAnsi="Times New Roman"/>
          <w:sz w:val="24"/>
          <w:szCs w:val="24"/>
        </w:rPr>
        <w:t xml:space="preserve">Físicos (A.7.1–A.7.14): 14 controles</w:t>
      </w:r>
    </w:p>
    <w:p>
      <w:pPr>
        <w:pStyle w:val="ListParagraph"/>
        <w:numPr>
          <w:ilvl w:val="0"/>
          <w:numId w:val="2"/>
        </w:numPr>
        <w:spacing w:after="200" w:line="360"/>
      </w:pPr>
      <w:r>
        <w:rPr>
          <w:rFonts w:ascii="Times New Roman" w:cs="Times New Roman" w:eastAsia="Times New Roman" w:hAnsi="Times New Roman"/>
          <w:sz w:val="24"/>
          <w:szCs w:val="24"/>
        </w:rPr>
        <w:t xml:space="preserve">Tecnológicos (A.8.1–A.8.34): 34 controles</w:t>
      </w:r>
    </w:p>
    <w:p>
      <w:pPr>
        <w:spacing w:after="200" w:line="360"/>
      </w:pPr>
      <w:r>
        <w:rPr>
          <w:rFonts w:ascii="Times New Roman" w:cs="Times New Roman" w:eastAsia="Times New Roman" w:hAnsi="Times New Roman"/>
          <w:sz w:val="24"/>
          <w:szCs w:val="24"/>
        </w:rPr>
        <w:t xml:space="preserve">Esta reorganización no implica la eliminación de controles, sino principalmente la fusión de requisitos redundantes (aproximadamente 24 controles fusionados), la actualización de 58 controles y la incorporación de </w:t>
      </w:r>
      <w:r>
        <w:rPr>
          <w:rFonts w:ascii="Times New Roman" w:cs="Times New Roman" w:eastAsia="Times New Roman" w:hAnsi="Times New Roman"/>
          <w:b/>
          <w:bCs/>
          <w:sz w:val="24"/>
          <w:szCs w:val="24"/>
        </w:rPr>
        <w:t xml:space="preserve">11 controles nuevos</w:t>
      </w:r>
      <w:r>
        <w:rPr>
          <w:rFonts w:ascii="Times New Roman" w:cs="Times New Roman" w:eastAsia="Times New Roman" w:hAnsi="Times New Roman"/>
          <w:sz w:val="24"/>
          <w:szCs w:val="24"/>
        </w:rPr>
        <w:t xml:space="preserve">. Entre los nuevos destacan, por su relevancia para la administración de bases de datos: Data masking (A.8.11), Data leakage prevention (A.8.12), Information deletion (A.8.10), Monitoring activities (A.8.16) y Configuration management (A.8.9).</w:t>
      </w:r>
    </w:p>
    <w:p>
      <w:pPr>
        <w:spacing w:after="200" w:line="360"/>
      </w:pPr>
      <w:r>
        <w:rPr>
          <w:rFonts w:ascii="Times New Roman" w:cs="Times New Roman" w:eastAsia="Times New Roman" w:hAnsi="Times New Roman"/>
          <w:sz w:val="24"/>
          <w:szCs w:val="24"/>
        </w:rPr>
        <w:t xml:space="preserve">El Anexo A continúa siendo un catálogo de referencia; la organización debe seleccionar los controles aplicables mediante su evaluación de riesgos y documentarlos en la Declaración de Aplicabilidad (Statement of Applicability, SoA). La guía detallada de implementación se encuentra en ISO/IEC 27002:2022.</w:t>
      </w:r>
    </w:p>
    <w:p>
      <w:pPr>
        <w:pStyle w:val="Heading2"/>
      </w:pPr>
      <w:r>
        <w:rPr>
          <w:rFonts w:ascii="Times New Roman" w:cs="Times New Roman" w:eastAsia="Times New Roman" w:hAnsi="Times New Roman"/>
          <w:b/>
          <w:bCs/>
          <w:sz w:val="26"/>
          <w:szCs w:val="26"/>
        </w:rPr>
        <w:t xml:space="preserve">5.2 Principio de mínimo privilegio y separación de funciones en el rol del DBA</w:t>
      </w:r>
    </w:p>
    <w:p>
      <w:pPr>
        <w:spacing w:after="200" w:line="360"/>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principio de mínimo privilegio</w:t>
      </w:r>
      <w:r>
        <w:rPr>
          <w:rFonts w:ascii="Times New Roman" w:cs="Times New Roman" w:eastAsia="Times New Roman" w:hAnsi="Times New Roman"/>
          <w:sz w:val="24"/>
          <w:szCs w:val="24"/>
        </w:rPr>
        <w:t xml:space="preserve"> establece que cada usuario, proceso o sistema debe disponer únicamente de los privilegios estrictamente necesarios para cumplir su función legítima, y por el menor tiempo posible. Aplicado al Administrador de Bases de Datos (DBA), implica que no se concedan privilegios amplios como SELECT ANY TABLE, GRANT ANY PRIVILEGE o el rol DBA de forma genérica a cuentas de aplicación o a desarrolladores.</w:t>
      </w:r>
    </w:p>
    <w:p>
      <w:pPr>
        <w:spacing w:after="200" w:line="360"/>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separación de funciones</w:t>
      </w:r>
      <w:r>
        <w:rPr>
          <w:rFonts w:ascii="Times New Roman" w:cs="Times New Roman" w:eastAsia="Times New Roman" w:hAnsi="Times New Roman"/>
          <w:sz w:val="24"/>
          <w:szCs w:val="24"/>
        </w:rPr>
        <w:t xml:space="preserve"> (segregation of duties) complementa este principio al evitar que una misma persona pueda ejecutar una acción crítica y, al mismo tiempo, ocultar o alterar la evidencia de dicha acción. En el contexto de bases de datos Oracle, una implementación práctica consiste en:</w:t>
      </w:r>
    </w:p>
    <w:p>
      <w:pPr>
        <w:pStyle w:val="ListParagraph"/>
        <w:numPr>
          <w:ilvl w:val="0"/>
          <w:numId w:val="2"/>
        </w:numPr>
        <w:spacing w:after="80" w:line="360"/>
      </w:pPr>
      <w:r>
        <w:rPr>
          <w:rFonts w:ascii="Times New Roman" w:cs="Times New Roman" w:eastAsia="Times New Roman" w:hAnsi="Times New Roman"/>
          <w:sz w:val="24"/>
          <w:szCs w:val="24"/>
        </w:rPr>
        <w:t xml:space="preserve">Separar el propietario de los datos de negocio del propietario de la pista de auditoría.</w:t>
      </w:r>
    </w:p>
    <w:p>
      <w:pPr>
        <w:pStyle w:val="ListParagraph"/>
        <w:numPr>
          <w:ilvl w:val="0"/>
          <w:numId w:val="2"/>
        </w:numPr>
        <w:spacing w:after="80" w:line="360"/>
      </w:pPr>
      <w:r>
        <w:rPr>
          <w:rFonts w:ascii="Times New Roman" w:cs="Times New Roman" w:eastAsia="Times New Roman" w:hAnsi="Times New Roman"/>
          <w:sz w:val="24"/>
          <w:szCs w:val="24"/>
        </w:rPr>
        <w:t xml:space="preserve">Restringir al DBA operativo la capacidad de modificar o eliminar registros de auditoría unificada.</w:t>
      </w:r>
    </w:p>
    <w:p>
      <w:pPr>
        <w:pStyle w:val="ListParagraph"/>
        <w:numPr>
          <w:ilvl w:val="0"/>
          <w:numId w:val="2"/>
        </w:numPr>
        <w:spacing w:after="200" w:line="360"/>
      </w:pPr>
      <w:r>
        <w:rPr>
          <w:rFonts w:ascii="Times New Roman" w:cs="Times New Roman" w:eastAsia="Times New Roman" w:hAnsi="Times New Roman"/>
          <w:sz w:val="24"/>
          <w:szCs w:val="24"/>
        </w:rPr>
        <w:t xml:space="preserve">Asignar la custodia de las claves del wallet de cifrado (TDE) a un rol distinto del que administra los respaldos.</w:t>
      </w:r>
    </w:p>
    <w:p>
      <w:pPr>
        <w:spacing w:after="200" w:line="360"/>
      </w:pPr>
      <w:r>
        <w:rPr>
          <w:rFonts w:ascii="Times New Roman" w:cs="Times New Roman" w:eastAsia="Times New Roman" w:hAnsi="Times New Roman"/>
          <w:sz w:val="24"/>
          <w:szCs w:val="24"/>
        </w:rPr>
        <w:t xml:space="preserve">Estas medidas reducen el riesgo de abuso de privilegios privilegiados y facilitan la detección de actividades anómalas.</w:t>
      </w:r>
    </w:p>
    <w:p>
      <w:pPr>
        <w:pStyle w:val="Heading2"/>
      </w:pPr>
      <w:r>
        <w:rPr>
          <w:rFonts w:ascii="Times New Roman" w:cs="Times New Roman" w:eastAsia="Times New Roman" w:hAnsi="Times New Roman"/>
          <w:b/>
          <w:bCs/>
          <w:sz w:val="26"/>
          <w:szCs w:val="26"/>
        </w:rPr>
        <w:t xml:space="preserve">5.3 Defensa en profundidad y Zero Trust aplicados a bases de datos</w:t>
      </w:r>
    </w:p>
    <w:p>
      <w:pPr>
        <w:spacing w:after="200" w:line="360"/>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defensa en profundidad</w:t>
      </w:r>
      <w:r>
        <w:rPr>
          <w:rFonts w:ascii="Times New Roman" w:cs="Times New Roman" w:eastAsia="Times New Roman" w:hAnsi="Times New Roman"/>
          <w:sz w:val="24"/>
          <w:szCs w:val="24"/>
        </w:rPr>
        <w:t xml:space="preserve"> propone capas sucesivas de controles de modo que el fallo de una capa no comprometa por completo la confidencialidad de los datos. En un entorno de base de datos estas capas incluyen: autenticación robusta, control de acceso basado en roles y privilegios mínimos, cifrado de datos en reposo y en tránsito, enmascaramiento o redacción de datos sensibles, auditoría de acciones y monitoreo continuo.</w:t>
      </w:r>
    </w:p>
    <w:p>
      <w:pPr>
        <w:spacing w:after="200" w:line="360"/>
      </w:pPr>
      <w:r>
        <w:rPr>
          <w:rFonts w:ascii="Times New Roman" w:cs="Times New Roman" w:eastAsia="Times New Roman" w:hAnsi="Times New Roman"/>
          <w:sz w:val="24"/>
          <w:szCs w:val="24"/>
        </w:rPr>
        <w:t xml:space="preserve">El modelo </w:t>
      </w:r>
      <w:r>
        <w:rPr>
          <w:rFonts w:ascii="Times New Roman" w:cs="Times New Roman" w:eastAsia="Times New Roman" w:hAnsi="Times New Roman"/>
          <w:b/>
          <w:bCs/>
          <w:sz w:val="24"/>
          <w:szCs w:val="24"/>
        </w:rPr>
        <w:t xml:space="preserve">Zero Trust</w:t>
      </w:r>
      <w:r>
        <w:rPr>
          <w:rFonts w:ascii="Times New Roman" w:cs="Times New Roman" w:eastAsia="Times New Roman" w:hAnsi="Times New Roman"/>
          <w:sz w:val="24"/>
          <w:szCs w:val="24"/>
        </w:rPr>
        <w:t xml:space="preserve"> (“nunca confiar, siempre verificar”) refuerza este enfoque al eliminar la confianza implícita basada en la ubicación de la red. Toda solicitud de acceso a datos sensibles debe autenticarse, autorizarse y cifrarse, independientemente de si proviene de la red interna o externa. En la práctica, para bases de datos Oracle esto se traduce en el uso de autenticación fuerte (perfiles con políticas de contraseña, autenticación multifactor cuando sea posible), conexiones TLS (TCPS), políticas de Virtual Private Database (VPD) y revisión periódica de privilegios.</w:t>
      </w:r>
    </w:p>
    <w:p>
      <w:pPr>
        <w:pStyle w:val="Heading2"/>
      </w:pPr>
      <w:r>
        <w:rPr>
          <w:rFonts w:ascii="Times New Roman" w:cs="Times New Roman" w:eastAsia="Times New Roman" w:hAnsi="Times New Roman"/>
          <w:b/>
          <w:bCs/>
          <w:sz w:val="26"/>
          <w:szCs w:val="26"/>
        </w:rPr>
        <w:t xml:space="preserve">5.4 Controles técnicos de confidencialidad en Oracle</w:t>
      </w:r>
    </w:p>
    <w:p>
      <w:pPr>
        <w:spacing w:after="160" w:line="360"/>
      </w:pPr>
      <w:r>
        <w:rPr>
          <w:rFonts w:ascii="Times New Roman" w:cs="Times New Roman" w:eastAsia="Times New Roman" w:hAnsi="Times New Roman"/>
          <w:sz w:val="24"/>
          <w:szCs w:val="24"/>
        </w:rPr>
        <w:t xml:space="preserve">Los siguientes mecanismos técnicos son especialmente relevantes para mitigar riesgos de confidencialidad:</w:t>
      </w:r>
    </w:p>
    <w:p>
      <w:pPr>
        <w:pStyle w:val="ListParagraph"/>
        <w:numPr>
          <w:ilvl w:val="0"/>
          <w:numId w:val="2"/>
        </w:numPr>
        <w:spacing w:after="80" w:line="360"/>
      </w:pPr>
      <w:r>
        <w:rPr>
          <w:rFonts w:ascii="Times New Roman" w:cs="Times New Roman" w:eastAsia="Times New Roman" w:hAnsi="Times New Roman"/>
          <w:b/>
          <w:bCs/>
          <w:sz w:val="24"/>
          <w:szCs w:val="24"/>
        </w:rPr>
        <w:t xml:space="preserve">Transparent Data Encryption (TDE): </w:t>
      </w:r>
      <w:r>
        <w:rPr>
          <w:rFonts w:ascii="Times New Roman" w:cs="Times New Roman" w:eastAsia="Times New Roman" w:hAnsi="Times New Roman"/>
          <w:sz w:val="24"/>
          <w:szCs w:val="24"/>
        </w:rPr>
        <w:t xml:space="preserve">cifra los datos en reposo a nivel de tablespace o columna, de modo que los archivos de datos, respaldos y exports resulten ilegibles sin la clave del wallet.</w:t>
      </w:r>
    </w:p>
    <w:p>
      <w:pPr>
        <w:pStyle w:val="ListParagraph"/>
        <w:numPr>
          <w:ilvl w:val="0"/>
          <w:numId w:val="2"/>
        </w:numPr>
        <w:spacing w:after="80" w:line="360"/>
      </w:pPr>
      <w:r>
        <w:rPr>
          <w:rFonts w:ascii="Times New Roman" w:cs="Times New Roman" w:eastAsia="Times New Roman" w:hAnsi="Times New Roman"/>
          <w:b/>
          <w:bCs/>
          <w:sz w:val="24"/>
          <w:szCs w:val="24"/>
        </w:rPr>
        <w:t xml:space="preserve">Dynamic Data Masking / Data Redaction: </w:t>
      </w:r>
      <w:r>
        <w:rPr>
          <w:rFonts w:ascii="Times New Roman" w:cs="Times New Roman" w:eastAsia="Times New Roman" w:hAnsi="Times New Roman"/>
          <w:sz w:val="24"/>
          <w:szCs w:val="24"/>
        </w:rPr>
        <w:t xml:space="preserve">oculta o enmascara valores sensibles (números de tarjeta, cédulas, salarios) en tiempo de consulta según la identidad del usuario que consulta.</w:t>
      </w:r>
    </w:p>
    <w:p>
      <w:pPr>
        <w:pStyle w:val="ListParagraph"/>
        <w:numPr>
          <w:ilvl w:val="0"/>
          <w:numId w:val="2"/>
        </w:numPr>
        <w:spacing w:after="80" w:line="360"/>
      </w:pPr>
      <w:r>
        <w:rPr>
          <w:rFonts w:ascii="Times New Roman" w:cs="Times New Roman" w:eastAsia="Times New Roman" w:hAnsi="Times New Roman"/>
          <w:b/>
          <w:bCs/>
          <w:sz w:val="24"/>
          <w:szCs w:val="24"/>
        </w:rPr>
        <w:t xml:space="preserve">Row Level Security / Virtual Private Database (VPD): </w:t>
      </w:r>
      <w:r>
        <w:rPr>
          <w:rFonts w:ascii="Times New Roman" w:cs="Times New Roman" w:eastAsia="Times New Roman" w:hAnsi="Times New Roman"/>
          <w:sz w:val="24"/>
          <w:szCs w:val="24"/>
        </w:rPr>
        <w:t xml:space="preserve">aplica predicados de filtrado automático a las consultas, limitando las filas visibles según el contexto del usuario.</w:t>
      </w:r>
    </w:p>
    <w:p>
      <w:pPr>
        <w:pStyle w:val="ListParagraph"/>
        <w:numPr>
          <w:ilvl w:val="0"/>
          <w:numId w:val="2"/>
        </w:numPr>
        <w:spacing w:after="200" w:line="360"/>
      </w:pPr>
      <w:r>
        <w:rPr>
          <w:rFonts w:ascii="Times New Roman" w:cs="Times New Roman" w:eastAsia="Times New Roman" w:hAnsi="Times New Roman"/>
          <w:b/>
          <w:bCs/>
          <w:sz w:val="24"/>
          <w:szCs w:val="24"/>
        </w:rPr>
        <w:t xml:space="preserve">TLS para conexiones: </w:t>
      </w:r>
      <w:r>
        <w:rPr>
          <w:rFonts w:ascii="Times New Roman" w:cs="Times New Roman" w:eastAsia="Times New Roman" w:hAnsi="Times New Roman"/>
          <w:sz w:val="24"/>
          <w:szCs w:val="24"/>
        </w:rPr>
        <w:t xml:space="preserve">protege la confidencialidad e integridad de los datos en tránsito entre el cliente y el servidor de base de datos.</w:t>
      </w:r>
    </w:p>
    <w:p>
      <w:pPr>
        <w:spacing w:after="200" w:line="360"/>
      </w:pPr>
      <w:r>
        <w:rPr>
          <w:rFonts w:ascii="Times New Roman" w:cs="Times New Roman" w:eastAsia="Times New Roman" w:hAnsi="Times New Roman"/>
          <w:sz w:val="24"/>
          <w:szCs w:val="24"/>
        </w:rPr>
        <w:t xml:space="preserve">Estos controles se alinean directamente con los requisitos de clasificación de la información (A.5.12), restricción de acceso (A.8.3), enmascaramiento (A.8.11) y prevención de fuga de datos (A.8.12).</w:t>
      </w:r>
    </w:p>
    <w:p>
      <w:pPr>
        <w:pStyle w:val="Heading2"/>
      </w:pPr>
      <w:r>
        <w:rPr>
          <w:rFonts w:ascii="Times New Roman" w:cs="Times New Roman" w:eastAsia="Times New Roman" w:hAnsi="Times New Roman"/>
          <w:b/>
          <w:bCs/>
          <w:sz w:val="26"/>
          <w:szCs w:val="26"/>
        </w:rPr>
        <w:t xml:space="preserve">5.5 Prevención de fuga de datos (DLP) y gestión de respaldos cifrados</w:t>
      </w:r>
    </w:p>
    <w:p>
      <w:pPr>
        <w:spacing w:after="200" w:line="360"/>
      </w:pPr>
      <w:r>
        <w:rPr>
          <w:rFonts w:ascii="Times New Roman" w:cs="Times New Roman" w:eastAsia="Times New Roman" w:hAnsi="Times New Roman"/>
          <w:sz w:val="24"/>
          <w:szCs w:val="24"/>
        </w:rPr>
        <w:t xml:space="preserve">La prevención de fuga de datos (Data Leakage Prevention) busca impedir la extracción no autorizada de información sensible a través de exports, clones de desarrollo/pruebas, herramientas de extracción o canales de red. En el ámbito del DBA, las medidas prácticas incluyen:</w:t>
      </w:r>
    </w:p>
    <w:p>
      <w:pPr>
        <w:pStyle w:val="ListParagraph"/>
        <w:numPr>
          <w:ilvl w:val="0"/>
          <w:numId w:val="2"/>
        </w:numPr>
        <w:spacing w:after="80" w:line="360"/>
      </w:pPr>
      <w:r>
        <w:rPr>
          <w:rFonts w:ascii="Times New Roman" w:cs="Times New Roman" w:eastAsia="Times New Roman" w:hAnsi="Times New Roman"/>
          <w:sz w:val="24"/>
          <w:szCs w:val="24"/>
        </w:rPr>
        <w:t xml:space="preserve">Cifrado de respaldos RMAN y de exports (expdp con cifrado).</w:t>
      </w:r>
    </w:p>
    <w:p>
      <w:pPr>
        <w:pStyle w:val="ListParagraph"/>
        <w:numPr>
          <w:ilvl w:val="0"/>
          <w:numId w:val="2"/>
        </w:numPr>
        <w:spacing w:after="80" w:line="360"/>
      </w:pPr>
      <w:r>
        <w:rPr>
          <w:rFonts w:ascii="Times New Roman" w:cs="Times New Roman" w:eastAsia="Times New Roman" w:hAnsi="Times New Roman"/>
          <w:sz w:val="24"/>
          <w:szCs w:val="24"/>
        </w:rPr>
        <w:t xml:space="preserve">Uso de clones o bases de datos de desarrollo con datos enmascarados o sintéticos.</w:t>
      </w:r>
    </w:p>
    <w:p>
      <w:pPr>
        <w:pStyle w:val="ListParagraph"/>
        <w:numPr>
          <w:ilvl w:val="0"/>
          <w:numId w:val="2"/>
        </w:numPr>
        <w:spacing w:after="80" w:line="360"/>
      </w:pPr>
      <w:r>
        <w:rPr>
          <w:rFonts w:ascii="Times New Roman" w:cs="Times New Roman" w:eastAsia="Times New Roman" w:hAnsi="Times New Roman"/>
          <w:sz w:val="24"/>
          <w:szCs w:val="24"/>
        </w:rPr>
        <w:t xml:space="preserve">Control estricto de privilegios de exportación y de acceso a directorios del sistema operativo donde se almacenan los dumps.</w:t>
      </w:r>
    </w:p>
    <w:p>
      <w:pPr>
        <w:pStyle w:val="ListParagraph"/>
        <w:numPr>
          <w:ilvl w:val="0"/>
          <w:numId w:val="2"/>
        </w:numPr>
        <w:spacing w:after="200" w:line="360"/>
      </w:pPr>
      <w:r>
        <w:rPr>
          <w:rFonts w:ascii="Times New Roman" w:cs="Times New Roman" w:eastAsia="Times New Roman" w:hAnsi="Times New Roman"/>
          <w:sz w:val="24"/>
          <w:szCs w:val="24"/>
        </w:rPr>
        <w:t xml:space="preserve">Eliminación segura de datos e información residual (A.8.10).</w:t>
      </w:r>
    </w:p>
    <w:p>
      <w:pPr>
        <w:spacing w:after="200" w:line="360"/>
      </w:pPr>
      <w:r>
        <w:rPr>
          <w:rFonts w:ascii="Times New Roman" w:cs="Times New Roman" w:eastAsia="Times New Roman" w:hAnsi="Times New Roman"/>
          <w:sz w:val="24"/>
          <w:szCs w:val="24"/>
        </w:rPr>
        <w:t xml:space="preserve">La combinación de TDE, enmascaramiento y políticas de acceso reduce significativamente la superficie de exposición de datos personales y financieros.</w:t>
      </w:r>
    </w:p>
    <w:p>
      <w:pPr>
        <w:pStyle w:val="Heading2"/>
      </w:pPr>
      <w:r>
        <w:rPr>
          <w:rFonts w:ascii="Times New Roman" w:cs="Times New Roman" w:eastAsia="Times New Roman" w:hAnsi="Times New Roman"/>
          <w:b/>
          <w:bCs/>
          <w:sz w:val="26"/>
          <w:szCs w:val="26"/>
        </w:rPr>
        <w:t xml:space="preserve">5.6 Logging, monitoreo y correlación (SIEM)</w:t>
      </w:r>
    </w:p>
    <w:p>
      <w:pPr>
        <w:spacing w:after="200" w:line="360"/>
      </w:pPr>
      <w:r>
        <w:rPr>
          <w:rFonts w:ascii="Times New Roman" w:cs="Times New Roman" w:eastAsia="Times New Roman" w:hAnsi="Times New Roman"/>
          <w:sz w:val="24"/>
          <w:szCs w:val="24"/>
        </w:rPr>
        <w:t xml:space="preserve">El registro de eventos (logging) y su posterior monitoreo permiten detectar y reconstruir accesos indebidos o cambios no autorizados. En Oracle, la </w:t>
      </w:r>
      <w:r>
        <w:rPr>
          <w:rFonts w:ascii="Times New Roman" w:cs="Times New Roman" w:eastAsia="Times New Roman" w:hAnsi="Times New Roman"/>
          <w:b/>
          <w:bCs/>
          <w:sz w:val="24"/>
          <w:szCs w:val="24"/>
        </w:rPr>
        <w:t xml:space="preserve">auditoría unificada</w:t>
      </w:r>
      <w:r>
        <w:rPr>
          <w:rFonts w:ascii="Times New Roman" w:cs="Times New Roman" w:eastAsia="Times New Roman" w:hAnsi="Times New Roman"/>
          <w:sz w:val="24"/>
          <w:szCs w:val="24"/>
        </w:rPr>
        <w:t xml:space="preserve"> (Unified Auditing) concentra en un solo repositorio los eventos de autenticación, privilegios, DDL y acceso a objetos sensibles.</w:t>
      </w:r>
    </w:p>
    <w:p>
      <w:pPr>
        <w:spacing w:after="200" w:line="360"/>
      </w:pPr>
      <w:r>
        <w:rPr>
          <w:rFonts w:ascii="Times New Roman" w:cs="Times New Roman" w:eastAsia="Times New Roman" w:hAnsi="Times New Roman"/>
          <w:sz w:val="24"/>
          <w:szCs w:val="24"/>
        </w:rPr>
        <w:t xml:space="preserve">La correlación de estos registros con otras fuentes (sistemas operativos, firewalls, aplicaciones) mediante un SIEM (Security Information and Event Management) permite identificar patrones anómalos, alertar en tiempo casi real y generar evidencia forense. Los controles A.8.15 (Logging) y A.8.16 (Monitoring activities) de ISO/IEC 27002:2022 formalizan estos requisitos. La protección de los propios registros de auditoría (A.5.33) es esencial para que la evidencia no pueda ser alterada por el mismo personal que administra la base de datos.</w:t>
      </w:r>
    </w:p>
    <w:p>
      <w:pPr>
        <w:pStyle w:val="Heading2"/>
      </w:pPr>
      <w:r>
        <w:rPr>
          <w:rFonts w:ascii="Times New Roman" w:cs="Times New Roman" w:eastAsia="Times New Roman" w:hAnsi="Times New Roman"/>
          <w:b/>
          <w:bCs/>
          <w:sz w:val="26"/>
          <w:szCs w:val="26"/>
        </w:rPr>
        <w:t xml:space="preserve">5.7 Normativa costarricense: Ley N.º 8968 y su reglamento</w:t>
      </w:r>
    </w:p>
    <w:p>
      <w:pPr>
        <w:spacing w:after="200" w:line="360"/>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Ley N.º 8968</w:t>
      </w:r>
      <w:r>
        <w:rPr>
          <w:rFonts w:ascii="Times New Roman" w:cs="Times New Roman" w:eastAsia="Times New Roman" w:hAnsi="Times New Roman"/>
          <w:sz w:val="24"/>
          <w:szCs w:val="24"/>
        </w:rPr>
        <w:t xml:space="preserve">, Ley de Protección de la Persona frente al Tratamiento de sus Datos Personales (2011), y su reglamento (Decreto Ejecutivo N.º 37554-JP), establecen el marco legal costarricense de protección de datos personales.</w:t>
      </w:r>
    </w:p>
    <w:p>
      <w:pPr>
        <w:spacing w:after="160" w:line="360"/>
      </w:pPr>
      <w:r>
        <w:rPr>
          <w:rFonts w:ascii="Times New Roman" w:cs="Times New Roman" w:eastAsia="Times New Roman" w:hAnsi="Times New Roman"/>
          <w:sz w:val="24"/>
          <w:szCs w:val="24"/>
        </w:rPr>
        <w:t xml:space="preserve">Aspectos relevantes para el Administrador de Bases de Datos:</w:t>
      </w:r>
    </w:p>
    <w:p>
      <w:pPr>
        <w:pStyle w:val="ListParagraph"/>
        <w:numPr>
          <w:ilvl w:val="0"/>
          <w:numId w:val="2"/>
        </w:numPr>
        <w:spacing w:after="80" w:line="360"/>
      </w:pPr>
      <w:r>
        <w:rPr>
          <w:rFonts w:ascii="Times New Roman" w:cs="Times New Roman" w:eastAsia="Times New Roman" w:hAnsi="Times New Roman"/>
          <w:sz w:val="24"/>
          <w:szCs w:val="24"/>
        </w:rPr>
        <w:t xml:space="preserve">Los datos personales (incluyendo cédula, datos financieros y de salud) deben tratarse con medidas de seguridad adecuadas.</w:t>
      </w:r>
    </w:p>
    <w:p>
      <w:pPr>
        <w:pStyle w:val="ListParagraph"/>
        <w:numPr>
          <w:ilvl w:val="0"/>
          <w:numId w:val="2"/>
        </w:numPr>
        <w:spacing w:after="80" w:line="360"/>
      </w:pPr>
      <w:r>
        <w:rPr>
          <w:rFonts w:ascii="Times New Roman" w:cs="Times New Roman" w:eastAsia="Times New Roman" w:hAnsi="Times New Roman"/>
          <w:sz w:val="24"/>
          <w:szCs w:val="24"/>
        </w:rPr>
        <w:t xml:space="preserve">Existe el derecho de acceso, rectificación, cancelación y oposición (derechos ARCO).</w:t>
      </w:r>
    </w:p>
    <w:p>
      <w:pPr>
        <w:pStyle w:val="ListParagraph"/>
        <w:numPr>
          <w:ilvl w:val="0"/>
          <w:numId w:val="2"/>
        </w:numPr>
        <w:spacing w:after="80" w:line="360"/>
      </w:pPr>
      <w:r>
        <w:rPr>
          <w:rFonts w:ascii="Times New Roman" w:cs="Times New Roman" w:eastAsia="Times New Roman" w:hAnsi="Times New Roman"/>
          <w:sz w:val="24"/>
          <w:szCs w:val="24"/>
        </w:rPr>
        <w:t xml:space="preserve">Las bases de datos destinadas a distribución, difusión o comercialización deben inscribirse ante la Agencia de Protección de Datos de los Habitantes (PRODHAB).</w:t>
      </w:r>
    </w:p>
    <w:p>
      <w:pPr>
        <w:pStyle w:val="ListParagraph"/>
        <w:numPr>
          <w:ilvl w:val="0"/>
          <w:numId w:val="2"/>
        </w:numPr>
        <w:spacing w:after="80" w:line="360"/>
      </w:pPr>
      <w:r>
        <w:rPr>
          <w:rFonts w:ascii="Times New Roman" w:cs="Times New Roman" w:eastAsia="Times New Roman" w:hAnsi="Times New Roman"/>
          <w:sz w:val="24"/>
          <w:szCs w:val="24"/>
        </w:rPr>
        <w:t xml:space="preserve">El consentimiento informado y escrito es un requisito general para el tratamiento de datos personales.</w:t>
      </w:r>
    </w:p>
    <w:p>
      <w:pPr>
        <w:pStyle w:val="ListParagraph"/>
        <w:numPr>
          <w:ilvl w:val="0"/>
          <w:numId w:val="2"/>
        </w:numPr>
        <w:spacing w:after="200" w:line="360"/>
      </w:pPr>
      <w:r>
        <w:rPr>
          <w:rFonts w:ascii="Times New Roman" w:cs="Times New Roman" w:eastAsia="Times New Roman" w:hAnsi="Times New Roman"/>
          <w:sz w:val="24"/>
          <w:szCs w:val="24"/>
        </w:rPr>
        <w:t xml:space="preserve">La notificación de incidentes de seguridad que afecten datos personales debe realizarse en los plazos establecidos por el reglamento.</w:t>
      </w:r>
    </w:p>
    <w:p>
      <w:pPr>
        <w:spacing w:after="200" w:line="360"/>
      </w:pPr>
      <w:r>
        <w:rPr>
          <w:rFonts w:ascii="Times New Roman" w:cs="Times New Roman" w:eastAsia="Times New Roman" w:hAnsi="Times New Roman"/>
          <w:sz w:val="24"/>
          <w:szCs w:val="24"/>
        </w:rPr>
        <w:t xml:space="preserve">El DBA, como custodio técnico de los datos, tiene la responsabilidad operativa de implementar controles técnicos (clasificación, cifrado, enmascaramiento, auditoría y eliminación segura) que permitan a la organización cumplir con las obligaciones de la Ley 8968 y reducir el riesgo de sanciones administrativas.</w:t>
      </w:r>
    </w:p>
    <w:p>
      <w:pPr>
        <w:pStyle w:val="Heading2"/>
      </w:pPr>
      <w:r>
        <w:rPr>
          <w:rFonts w:ascii="Times New Roman" w:cs="Times New Roman" w:eastAsia="Times New Roman" w:hAnsi="Times New Roman"/>
          <w:b/>
          <w:bCs/>
          <w:sz w:val="26"/>
          <w:szCs w:val="26"/>
        </w:rPr>
        <w:t xml:space="preserve">Síntesis</w:t>
      </w:r>
    </w:p>
    <w:p>
      <w:pPr>
        <w:spacing w:after="300" w:line="360"/>
      </w:pPr>
      <w:r>
        <w:rPr>
          <w:rFonts w:ascii="Times New Roman" w:cs="Times New Roman" w:eastAsia="Times New Roman" w:hAnsi="Times New Roman"/>
          <w:sz w:val="24"/>
          <w:szCs w:val="24"/>
        </w:rPr>
        <w:t xml:space="preserve">El marco de controles de ISO/IEC 27001:2022 e ISO/IEC 27002:2022, combinado con el principio de mínimo privilegio, la separación de funciones, la defensa en profundidad y el modelo Zero Trust, ofrece una base sólida para proteger la confidencialidad de los datos gestionados por el DBA. La correcta implementación de mecanismos técnicos de Oracle (TDE, Data Redaction, VPD, TLS, auditoría unificada y respaldos cifrados), junto con el cumplimiento de la Ley 8968, permite reducir de forma medible los riesgos de confidencialidad y generar evidencias auditables.</w:t>
      </w:r>
    </w:p>
    <w:p>
      <w:pPr>
        <w:pStyle w:val="Heading1"/>
      </w:pPr>
      <w:r>
        <w:rPr>
          <w:rFonts w:ascii="Times New Roman" w:cs="Times New Roman" w:eastAsia="Times New Roman" w:hAnsi="Times New Roman"/>
          <w:b/>
          <w:bCs/>
          <w:sz w:val="28"/>
          <w:szCs w:val="28"/>
        </w:rPr>
        <w:t xml:space="preserve">Referencias</w:t>
      </w:r>
    </w:p>
    <w:p>
      <w:pPr>
        <w:spacing w:after="160" w:line="360"/>
        <w:ind w:left="720" w:hanging="720"/>
      </w:pPr>
      <w:r>
        <w:rPr>
          <w:rFonts w:ascii="Times New Roman" w:cs="Times New Roman" w:eastAsia="Times New Roman" w:hAnsi="Times New Roman"/>
          <w:sz w:val="24"/>
          <w:szCs w:val="24"/>
        </w:rPr>
        <w:t xml:space="preserve">Asamblea Legislativa de la República de Costa Rica. (2011). </w:t>
      </w:r>
      <w:r>
        <w:rPr>
          <w:rFonts w:ascii="Times New Roman" w:cs="Times New Roman" w:eastAsia="Times New Roman" w:hAnsi="Times New Roman"/>
          <w:i/>
          <w:iCs/>
          <w:sz w:val="24"/>
          <w:szCs w:val="24"/>
        </w:rPr>
        <w:t xml:space="preserve">Ley N.º 8968. Ley de Protección de la Persona frente al Tratamiento de sus Datos Personales</w:t>
      </w:r>
      <w:r>
        <w:rPr>
          <w:rFonts w:ascii="Times New Roman" w:cs="Times New Roman" w:eastAsia="Times New Roman" w:hAnsi="Times New Roman"/>
          <w:sz w:val="24"/>
          <w:szCs w:val="24"/>
        </w:rPr>
        <w:t xml:space="preserve">.</w:t>
      </w:r>
    </w:p>
    <w:p>
      <w:pPr>
        <w:spacing w:after="160" w:line="360"/>
        <w:ind w:left="720" w:hanging="720"/>
      </w:pPr>
      <w:r>
        <w:rPr>
          <w:rFonts w:ascii="Times New Roman" w:cs="Times New Roman" w:eastAsia="Times New Roman" w:hAnsi="Times New Roman"/>
          <w:sz w:val="24"/>
          <w:szCs w:val="24"/>
        </w:rPr>
        <w:t xml:space="preserve">International Organization for Standardization. (2022a). </w:t>
      </w:r>
      <w:r>
        <w:rPr>
          <w:rFonts w:ascii="Times New Roman" w:cs="Times New Roman" w:eastAsia="Times New Roman" w:hAnsi="Times New Roman"/>
          <w:i/>
          <w:iCs/>
          <w:sz w:val="24"/>
          <w:szCs w:val="24"/>
        </w:rPr>
        <w:t xml:space="preserve">ISO/IEC 27001:2022. Information security, cybersecurity and privacy protection — Information security management systems — Requirements</w:t>
      </w:r>
      <w:r>
        <w:rPr>
          <w:rFonts w:ascii="Times New Roman" w:cs="Times New Roman" w:eastAsia="Times New Roman" w:hAnsi="Times New Roman"/>
          <w:sz w:val="24"/>
          <w:szCs w:val="24"/>
        </w:rPr>
        <w:t xml:space="preserve">.</w:t>
      </w:r>
    </w:p>
    <w:p>
      <w:pPr>
        <w:spacing w:after="160" w:line="360"/>
        <w:ind w:left="720" w:hanging="720"/>
      </w:pPr>
      <w:r>
        <w:rPr>
          <w:rFonts w:ascii="Times New Roman" w:cs="Times New Roman" w:eastAsia="Times New Roman" w:hAnsi="Times New Roman"/>
          <w:sz w:val="24"/>
          <w:szCs w:val="24"/>
        </w:rPr>
        <w:t xml:space="preserve">International Organization for Standardization. (2022b). </w:t>
      </w:r>
      <w:r>
        <w:rPr>
          <w:rFonts w:ascii="Times New Roman" w:cs="Times New Roman" w:eastAsia="Times New Roman" w:hAnsi="Times New Roman"/>
          <w:i/>
          <w:iCs/>
          <w:sz w:val="24"/>
          <w:szCs w:val="24"/>
        </w:rPr>
        <w:t xml:space="preserve">ISO/IEC 27002:2022. Information security, cybersecurity and privacy protection — Information security controls</w:t>
      </w:r>
      <w:r>
        <w:rPr>
          <w:rFonts w:ascii="Times New Roman" w:cs="Times New Roman" w:eastAsia="Times New Roman" w:hAnsi="Times New Roman"/>
          <w:sz w:val="24"/>
          <w:szCs w:val="24"/>
        </w:rPr>
        <w:t xml:space="preserve">.</w:t>
      </w:r>
    </w:p>
    <w:p>
      <w:pPr>
        <w:spacing w:after="160" w:line="360"/>
        <w:ind w:left="720" w:hanging="720"/>
      </w:pPr>
      <w:r>
        <w:rPr>
          <w:rFonts w:ascii="Times New Roman" w:cs="Times New Roman" w:eastAsia="Times New Roman" w:hAnsi="Times New Roman"/>
          <w:sz w:val="24"/>
          <w:szCs w:val="24"/>
        </w:rPr>
        <w:t xml:space="preserve">Oracle. (s. f.). </w:t>
      </w:r>
      <w:r>
        <w:rPr>
          <w:rFonts w:ascii="Times New Roman" w:cs="Times New Roman" w:eastAsia="Times New Roman" w:hAnsi="Times New Roman"/>
          <w:i/>
          <w:iCs/>
          <w:sz w:val="24"/>
          <w:szCs w:val="24"/>
        </w:rPr>
        <w:t xml:space="preserve">Oracle Database Security Guide</w:t>
      </w:r>
      <w:r>
        <w:rPr>
          <w:rFonts w:ascii="Times New Roman" w:cs="Times New Roman" w:eastAsia="Times New Roman" w:hAnsi="Times New Roman"/>
          <w:sz w:val="24"/>
          <w:szCs w:val="24"/>
        </w:rPr>
        <w:t xml:space="preserve"> (versiones 19c / 21c / 23ai). Documentación oficial de Oracle.</w:t>
      </w:r>
    </w:p>
    <w:p>
      <w:pPr>
        <w:spacing w:after="160" w:line="360"/>
        <w:ind w:left="720" w:hanging="720"/>
      </w:pPr>
      <w:r>
        <w:rPr>
          <w:rFonts w:ascii="Times New Roman" w:cs="Times New Roman" w:eastAsia="Times New Roman" w:hAnsi="Times New Roman"/>
          <w:sz w:val="24"/>
          <w:szCs w:val="24"/>
        </w:rPr>
        <w:t xml:space="preserve">Poder Ejecutivo de Costa Rica. (2012). </w:t>
      </w:r>
      <w:r>
        <w:rPr>
          <w:rFonts w:ascii="Times New Roman" w:cs="Times New Roman" w:eastAsia="Times New Roman" w:hAnsi="Times New Roman"/>
          <w:i/>
          <w:iCs/>
          <w:sz w:val="24"/>
          <w:szCs w:val="24"/>
        </w:rPr>
        <w:t xml:space="preserve">Decreto Ejecutivo N.º 37554-JP. Reglamento a la Ley de Protección de la Persona frente al Tratamiento de sus Datos Personales</w:t>
      </w:r>
      <w:r>
        <w:rPr>
          <w:rFonts w:ascii="Times New Roman" w:cs="Times New Roman" w:eastAsia="Times New Roman" w:hAnsi="Times New Roman"/>
          <w:sz w:val="24"/>
          <w:szCs w:val="24"/>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Curso: Administración de Bases de Datos  ·  Controles ISO 27001:2022 – Confidencialidad  ·  Página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55555"/>
        <w:sz w:val="18"/>
        <w:szCs w:val="18"/>
      </w:rPr>
      <w:t xml:space="preserve">Universidad Nacional de Costa Rica | Escuela de Informática | II Ciclo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Title">
    <w:name w:val="Title"/>
    <w:basedOn w:val="Normal"/>
    <w:pPr>
      <w:spacing w:after="200" w:before="0"/>
      <w:jc w:val="center"/>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2026-10-21T22:39:55.245Z</dcterms:created>
  <dcterms:modified xsi:type="dcterms:W3CDTF">2026-10-21T22:39:55.246Z</dcterms:modified>
</cp:coreProperties>
</file>

<file path=docProps/custom.xml><?xml version="1.0" encoding="utf-8"?>
<Properties xmlns="http://schemas.openxmlformats.org/officeDocument/2006/custom-properties" xmlns:vt="http://schemas.openxmlformats.org/officeDocument/2006/docPropsVTypes"/>
</file>