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319" w:rsidRPr="00407CC3" w:rsidRDefault="00407CC3">
      <w:pPr>
        <w:spacing w:before="500"/>
        <w:jc w:val="center"/>
        <w:rPr>
          <w:lang w:val="es-ES"/>
        </w:rPr>
      </w:pPr>
      <w:r w:rsidRPr="00407CC3">
        <w:rPr>
          <w:b/>
          <w:bCs/>
          <w:sz w:val="24"/>
          <w:szCs w:val="24"/>
          <w:lang w:val="es-ES"/>
        </w:rPr>
        <w:t>UNIVERSIDAD NACIONAL DE COSTA RICA</w:t>
      </w:r>
    </w:p>
    <w:p w:rsidR="00BD3319" w:rsidRDefault="00407CC3">
      <w:pPr>
        <w:jc w:val="center"/>
        <w:rPr>
          <w:lang w:val="es-ES"/>
        </w:rPr>
      </w:pPr>
      <w:r w:rsidRPr="00407CC3">
        <w:rPr>
          <w:lang w:val="es-ES"/>
        </w:rPr>
        <w:t>Escuela de Informática</w:t>
      </w:r>
    </w:p>
    <w:p w:rsidR="004C5FFC" w:rsidRDefault="004C5FFC" w:rsidP="004C5FFC">
      <w:pPr>
        <w:rPr>
          <w:lang w:val="es-ES"/>
        </w:rPr>
      </w:pPr>
    </w:p>
    <w:p w:rsidR="004C5FFC" w:rsidRPr="00407CC3" w:rsidRDefault="004C5FFC" w:rsidP="004C5FFC">
      <w:pPr>
        <w:rPr>
          <w:lang w:val="es-ES"/>
        </w:rPr>
      </w:pPr>
      <w:r>
        <w:rPr>
          <w:noProof/>
        </w:rPr>
        <w:drawing>
          <wp:anchor distT="0" distB="0" distL="114300" distR="114300" simplePos="0" relativeHeight="251658240" behindDoc="0" locked="0" layoutInCell="1" allowOverlap="1" wp14:anchorId="343767F8" wp14:editId="4C9C6531">
            <wp:simplePos x="0" y="0"/>
            <wp:positionH relativeFrom="margin">
              <wp:align>center</wp:align>
            </wp:positionH>
            <wp:positionV relativeFrom="paragraph">
              <wp:posOffset>190500</wp:posOffset>
            </wp:positionV>
            <wp:extent cx="2533015" cy="1424940"/>
            <wp:effectExtent l="0" t="0" r="635" b="3810"/>
            <wp:wrapTopAndBottom/>
            <wp:docPr id="1" name="Imagen 1" descr="Sede Regional Choro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de Regional Choroteg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3015" cy="142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3319" w:rsidRPr="004C5FFC" w:rsidRDefault="00407CC3">
      <w:pPr>
        <w:spacing w:before="360"/>
        <w:jc w:val="center"/>
        <w:rPr>
          <w:lang w:val="es-ES"/>
        </w:rPr>
      </w:pPr>
      <w:r w:rsidRPr="004C5FFC">
        <w:rPr>
          <w:b/>
          <w:bCs/>
          <w:sz w:val="28"/>
          <w:szCs w:val="28"/>
          <w:lang w:val="es-ES"/>
        </w:rPr>
        <w:t>Controles ISO 27001:2022 para la</w:t>
      </w:r>
    </w:p>
    <w:p w:rsidR="00BD3319" w:rsidRPr="004C5FFC" w:rsidRDefault="00407CC3">
      <w:pPr>
        <w:jc w:val="center"/>
        <w:rPr>
          <w:b/>
          <w:bCs/>
          <w:sz w:val="28"/>
          <w:szCs w:val="28"/>
          <w:lang w:val="es-ES"/>
        </w:rPr>
      </w:pPr>
      <w:r w:rsidRPr="004C5FFC">
        <w:rPr>
          <w:b/>
          <w:bCs/>
          <w:sz w:val="28"/>
          <w:szCs w:val="28"/>
          <w:lang w:val="es-ES"/>
        </w:rPr>
        <w:t>Confidencialidad en Administración de Bases de Datos</w:t>
      </w:r>
    </w:p>
    <w:p w:rsidR="00407CC3" w:rsidRPr="004C5FFC" w:rsidRDefault="00407CC3">
      <w:pPr>
        <w:jc w:val="center"/>
        <w:rPr>
          <w:b/>
          <w:bCs/>
          <w:sz w:val="28"/>
          <w:szCs w:val="28"/>
          <w:lang w:val="es-ES"/>
        </w:rPr>
      </w:pPr>
    </w:p>
    <w:p w:rsidR="00407CC3" w:rsidRPr="004C5FFC" w:rsidRDefault="00407CC3">
      <w:pPr>
        <w:jc w:val="center"/>
        <w:rPr>
          <w:b/>
          <w:bCs/>
          <w:sz w:val="28"/>
          <w:szCs w:val="28"/>
          <w:lang w:val="es-ES"/>
        </w:rPr>
      </w:pPr>
    </w:p>
    <w:p w:rsidR="00407CC3" w:rsidRPr="004C5FFC" w:rsidRDefault="00407CC3" w:rsidP="00407CC3">
      <w:pPr>
        <w:rPr>
          <w:b/>
          <w:bCs/>
          <w:sz w:val="28"/>
          <w:szCs w:val="28"/>
          <w:lang w:val="es-ES"/>
        </w:rPr>
      </w:pPr>
    </w:p>
    <w:p w:rsidR="00407CC3" w:rsidRPr="004C5FFC" w:rsidRDefault="00407CC3">
      <w:pPr>
        <w:jc w:val="center"/>
        <w:rPr>
          <w:lang w:val="es-ES"/>
        </w:rPr>
      </w:pPr>
    </w:p>
    <w:p w:rsidR="00BD3319" w:rsidRPr="004C5FFC" w:rsidRDefault="00407CC3">
      <w:pPr>
        <w:spacing w:before="360"/>
        <w:jc w:val="center"/>
        <w:rPr>
          <w:lang w:val="es-ES"/>
        </w:rPr>
      </w:pPr>
      <w:r w:rsidRPr="004C5FFC">
        <w:rPr>
          <w:lang w:val="es-ES"/>
        </w:rPr>
        <w:t>Curso: Administración de Bases de Datos</w:t>
      </w:r>
    </w:p>
    <w:p w:rsidR="00407CC3" w:rsidRPr="004C5FFC" w:rsidRDefault="00407CC3">
      <w:pPr>
        <w:spacing w:before="360"/>
        <w:jc w:val="center"/>
        <w:rPr>
          <w:lang w:val="es-ES"/>
        </w:rPr>
      </w:pPr>
    </w:p>
    <w:p w:rsidR="00407CC3" w:rsidRPr="004C5FFC" w:rsidRDefault="00407CC3">
      <w:pPr>
        <w:spacing w:before="360"/>
        <w:jc w:val="center"/>
        <w:rPr>
          <w:lang w:val="es-ES"/>
        </w:rPr>
      </w:pPr>
    </w:p>
    <w:p w:rsidR="00407CC3" w:rsidRPr="004C5FFC" w:rsidRDefault="00407CC3">
      <w:pPr>
        <w:jc w:val="center"/>
        <w:rPr>
          <w:lang w:val="es-ES"/>
        </w:rPr>
      </w:pPr>
      <w:r w:rsidRPr="004C5FFC">
        <w:rPr>
          <w:lang w:val="es-ES"/>
        </w:rPr>
        <w:t xml:space="preserve">Prof. Johnny Villalobos Murillo  </w:t>
      </w:r>
    </w:p>
    <w:p w:rsidR="00407CC3" w:rsidRPr="004C5FFC" w:rsidRDefault="00407CC3">
      <w:pPr>
        <w:jc w:val="center"/>
        <w:rPr>
          <w:lang w:val="es-ES"/>
        </w:rPr>
      </w:pPr>
    </w:p>
    <w:p w:rsidR="00407CC3" w:rsidRPr="004C5FFC" w:rsidRDefault="00407CC3">
      <w:pPr>
        <w:jc w:val="center"/>
        <w:rPr>
          <w:lang w:val="es-ES"/>
        </w:rPr>
      </w:pPr>
    </w:p>
    <w:p w:rsidR="00407CC3" w:rsidRPr="004C5FFC" w:rsidRDefault="00407CC3">
      <w:pPr>
        <w:jc w:val="center"/>
        <w:rPr>
          <w:lang w:val="es-ES"/>
        </w:rPr>
      </w:pPr>
    </w:p>
    <w:p w:rsidR="00BD3319" w:rsidRPr="004C5FFC" w:rsidRDefault="00407CC3">
      <w:pPr>
        <w:jc w:val="center"/>
        <w:rPr>
          <w:lang w:val="es-ES"/>
        </w:rPr>
      </w:pPr>
      <w:r w:rsidRPr="004C5FFC">
        <w:rPr>
          <w:lang w:val="es-ES"/>
        </w:rPr>
        <w:t>II Ciclo 2026</w:t>
      </w:r>
    </w:p>
    <w:p w:rsidR="00407CC3" w:rsidRPr="004C5FFC" w:rsidRDefault="00407CC3">
      <w:pPr>
        <w:jc w:val="center"/>
        <w:rPr>
          <w:lang w:val="es-ES"/>
        </w:rPr>
      </w:pPr>
    </w:p>
    <w:p w:rsidR="00407CC3" w:rsidRPr="004C5FFC" w:rsidRDefault="00407CC3">
      <w:pPr>
        <w:jc w:val="center"/>
        <w:rPr>
          <w:lang w:val="es-ES"/>
        </w:rPr>
      </w:pPr>
    </w:p>
    <w:p w:rsidR="00407CC3" w:rsidRDefault="00407CC3">
      <w:pPr>
        <w:jc w:val="center"/>
        <w:rPr>
          <w:lang w:val="es-ES"/>
        </w:rPr>
      </w:pPr>
    </w:p>
    <w:p w:rsidR="004C5FFC" w:rsidRPr="00407CC3" w:rsidRDefault="004C5FFC">
      <w:pPr>
        <w:jc w:val="center"/>
        <w:rPr>
          <w:lang w:val="es-ES"/>
        </w:rPr>
      </w:pPr>
      <w:bookmarkStart w:id="0" w:name="_GoBack"/>
      <w:bookmarkEnd w:id="0"/>
    </w:p>
    <w:p w:rsidR="00BD3319" w:rsidRDefault="00407CC3">
      <w:pPr>
        <w:spacing w:before="280"/>
        <w:jc w:val="center"/>
        <w:rPr>
          <w:b/>
          <w:bCs/>
          <w:lang w:val="es-ES"/>
        </w:rPr>
      </w:pPr>
      <w:r w:rsidRPr="00407CC3">
        <w:rPr>
          <w:b/>
          <w:bCs/>
          <w:lang w:val="es-ES"/>
        </w:rPr>
        <w:t>Estudiante: Liseth Vallejos Gonzales</w:t>
      </w:r>
    </w:p>
    <w:p w:rsidR="004C5FFC" w:rsidRDefault="004C5FFC" w:rsidP="004C5FFC">
      <w:pPr>
        <w:spacing w:before="280"/>
        <w:rPr>
          <w:b/>
          <w:bCs/>
          <w:lang w:val="es-ES"/>
        </w:rPr>
      </w:pPr>
    </w:p>
    <w:p w:rsidR="004C5FFC" w:rsidRDefault="004C5FFC" w:rsidP="004C5FFC">
      <w:pPr>
        <w:spacing w:before="280"/>
        <w:rPr>
          <w:lang w:val="es-ES"/>
        </w:rPr>
      </w:pPr>
    </w:p>
    <w:p w:rsidR="004C5FFC" w:rsidRDefault="004C5FFC">
      <w:pPr>
        <w:spacing w:before="280"/>
        <w:jc w:val="center"/>
        <w:rPr>
          <w:lang w:val="es-ES"/>
        </w:rPr>
      </w:pPr>
    </w:p>
    <w:p w:rsidR="004C5FFC" w:rsidRPr="00407CC3" w:rsidRDefault="004C5FFC">
      <w:pPr>
        <w:spacing w:before="280"/>
        <w:jc w:val="center"/>
        <w:rPr>
          <w:lang w:val="es-ES"/>
        </w:rPr>
      </w:pPr>
    </w:p>
    <w:p w:rsidR="00BD3319" w:rsidRPr="00407CC3" w:rsidRDefault="00407CC3">
      <w:pPr>
        <w:spacing w:before="60"/>
        <w:jc w:val="center"/>
        <w:rPr>
          <w:lang w:val="es-ES"/>
        </w:rPr>
      </w:pPr>
      <w:r w:rsidRPr="00407CC3">
        <w:rPr>
          <w:color w:val="0E7C86"/>
          <w:sz w:val="16"/>
          <w:szCs w:val="16"/>
          <w:lang w:val="es-ES"/>
        </w:rPr>
        <w:t>Repositorio: https://github.com/lisethVG/ConfiDBA-ISO27001-2026</w:t>
      </w:r>
    </w:p>
    <w:p w:rsidR="00BD3319" w:rsidRPr="00407CC3" w:rsidRDefault="00407CC3">
      <w:pPr>
        <w:spacing w:before="40"/>
        <w:jc w:val="center"/>
        <w:rPr>
          <w:lang w:val="es-ES"/>
        </w:rPr>
      </w:pPr>
      <w:r w:rsidRPr="00407CC3">
        <w:rPr>
          <w:color w:val="5B6C78"/>
          <w:sz w:val="16"/>
          <w:szCs w:val="16"/>
          <w:lang w:val="es-ES"/>
        </w:rPr>
        <w:t>Motor: Oracle 19c / 21c XE  ·  Metodología: PHVA  ·  Mínimo privilegio  ·  SoD</w:t>
      </w:r>
    </w:p>
    <w:p w:rsidR="00BD3319" w:rsidRPr="00407CC3" w:rsidRDefault="00407CC3">
      <w:pPr>
        <w:rPr>
          <w:lang w:val="es-ES"/>
        </w:rPr>
      </w:pPr>
      <w:r w:rsidRPr="00407CC3">
        <w:rPr>
          <w:lang w:val="es-ES"/>
        </w:rPr>
        <w:br w:type="page"/>
      </w:r>
    </w:p>
    <w:p w:rsidR="00BD3319" w:rsidRPr="004C5FFC" w:rsidRDefault="00407CC3" w:rsidP="004C5FFC">
      <w:pPr>
        <w:pStyle w:val="Ttulo1"/>
        <w:spacing w:line="360" w:lineRule="auto"/>
        <w:rPr>
          <w:color w:val="auto"/>
          <w:lang w:val="es-ES"/>
        </w:rPr>
      </w:pPr>
      <w:r w:rsidRPr="004C5FFC">
        <w:rPr>
          <w:color w:val="auto"/>
          <w:lang w:val="es-ES"/>
        </w:rPr>
        <w:lastRenderedPageBreak/>
        <w:t>1. Presentación y justificación</w:t>
      </w:r>
    </w:p>
    <w:p w:rsidR="00BD3319" w:rsidRPr="004C5FFC" w:rsidRDefault="00407CC3" w:rsidP="004C5FFC">
      <w:pPr>
        <w:spacing w:after="100" w:line="360" w:lineRule="auto"/>
        <w:jc w:val="both"/>
        <w:rPr>
          <w:lang w:val="es-ES"/>
        </w:rPr>
      </w:pPr>
      <w:r w:rsidRPr="004C5FFC">
        <w:rPr>
          <w:lang w:val="es-ES"/>
        </w:rPr>
        <w:t>La confidencialidad es uno de los pilares de la seguridad de la información. El Administrador de Bases de Datos (DBA) es el custodio técnico de los activos de información más críticos. Este informe documenta el diseño e implementación de un marco de controles basado en ISO/IEC 27001:2022 (Anexo A) e ISO/IEC 27002:2022 para mitigar riesgos de confidencialidad en las tareas del DBA, aplicando el ciclo PHVA y el principio de mínimo privilegio.</w:t>
      </w:r>
    </w:p>
    <w:p w:rsidR="00BD3319" w:rsidRPr="004C5FFC" w:rsidRDefault="00407CC3" w:rsidP="004C5FFC">
      <w:pPr>
        <w:spacing w:after="100" w:line="360" w:lineRule="auto"/>
        <w:jc w:val="both"/>
        <w:rPr>
          <w:lang w:val="es-ES"/>
        </w:rPr>
      </w:pPr>
      <w:r w:rsidRPr="004C5FFC">
        <w:rPr>
          <w:lang w:val="es-ES"/>
        </w:rPr>
        <w:t>El artefacto oficial es ConfiDBA Studio: una aplicación local (Python/Flask) que evalúa 15 controles del Anexo A mediante consultas SQL a Oracle (o modo demostración), calcula cumplimiento ponderado, riesgo residual e historial, y permite ajuste manual de cada control. Se complementa con scripts de laboratorio y de verificación (sql/) y con este informe.</w:t>
      </w:r>
    </w:p>
    <w:p w:rsidR="00BD3319" w:rsidRPr="004C5FFC" w:rsidRDefault="00407CC3" w:rsidP="004C5FFC">
      <w:pPr>
        <w:pStyle w:val="Ttulo2"/>
        <w:spacing w:line="360" w:lineRule="auto"/>
        <w:rPr>
          <w:color w:val="auto"/>
          <w:lang w:val="es-ES"/>
        </w:rPr>
      </w:pPr>
      <w:r w:rsidRPr="004C5FFC">
        <w:rPr>
          <w:color w:val="auto"/>
          <w:lang w:val="es-ES"/>
        </w:rPr>
        <w:t>1.1 Objetivo general</w:t>
      </w:r>
    </w:p>
    <w:p w:rsidR="00BD3319" w:rsidRPr="004C5FFC" w:rsidRDefault="00407CC3" w:rsidP="004C5FFC">
      <w:pPr>
        <w:spacing w:after="100" w:line="360" w:lineRule="auto"/>
        <w:jc w:val="both"/>
        <w:rPr>
          <w:lang w:val="es-ES"/>
        </w:rPr>
      </w:pPr>
      <w:r w:rsidRPr="004C5FFC">
        <w:rPr>
          <w:lang w:val="es-ES"/>
        </w:rPr>
        <w:t>Diseñar e implementar un marco de controles basado en ISO/IEC 27001:2022 e ISO/IEC 27002:2022 para mitigar riesgos de confidencialidad en las tareas del Administrador de Bases de Datos, incluyendo matriz de evaluación con criterios de madurez 0–4, evidencias observables y pruebas técnicas auditables.</w:t>
      </w:r>
    </w:p>
    <w:p w:rsidR="00BD3319" w:rsidRPr="004C5FFC" w:rsidRDefault="00407CC3" w:rsidP="004C5FFC">
      <w:pPr>
        <w:pStyle w:val="Ttulo2"/>
        <w:spacing w:line="360" w:lineRule="auto"/>
        <w:rPr>
          <w:color w:val="auto"/>
        </w:rPr>
      </w:pPr>
      <w:r w:rsidRPr="004C5FFC">
        <w:rPr>
          <w:color w:val="auto"/>
        </w:rPr>
        <w:t>1.2 Objetivos específicos</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Identificar y clasificar cinco riesgos de confidencialidad (R-CONF) asociados a motores de BD Oracle.</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Mapear doce tareas críticas del DBA (usuarios, privilegios, autenticación, TDE, masking, backup, auditoría, parcheo, listener, eliminación segura, logs, clones DEV/TEST).</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Seleccionar y justificar controles del Anexo A 2022 pertinentes (A5.12, A5.15–A5.18, A5.33, A8.2, A8.3, A8.5, A8.10–A8.13, A8.15, A8.20).</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Diseñar una matriz de evaluación con criterios de madurez 0–4, evidencia y estado (equivalencia con el scoring 0–1 de Studio).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Proponer y ejecutar pruebas técnicas (consultas SQL, revisión de configuraciones) que demuestren la efectividad de los controles.</w:t>
      </w:r>
    </w:p>
    <w:p w:rsidR="00BD3319" w:rsidRPr="004C5FFC" w:rsidRDefault="00407CC3" w:rsidP="004C5FFC">
      <w:pPr>
        <w:pStyle w:val="Ttulo2"/>
        <w:spacing w:line="360" w:lineRule="auto"/>
        <w:rPr>
          <w:color w:val="auto"/>
        </w:rPr>
      </w:pPr>
      <w:r w:rsidRPr="004C5FFC">
        <w:rPr>
          <w:color w:val="auto"/>
        </w:rPr>
        <w:t>1.3 Componentes del artefacto ConfiDBA Studio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app.py – servidor Flask: cuentas, empresas, conexión Oracle, cálculo de cumplimiento y riesgo residual.</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controles.py – 5 riesgos, 15 controles (consultas SQL + función de puntuación 0–1), tareas, evidencias y SoD.</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static/index.html – interfaz: login, evaluación, historial, informe, consultas SQL, riesgos y tareas.</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sql/00_laboratorio_XE21c.sql – laboratorio (usuarios separados, datos clasificados, clon enmascarado, auditoría).</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sql/01_verificacion_controles.sql – 15 pruebas observables (P-01 a P-15) para auditor externo.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sql/02_usuario_auditor.sql – usuario de verificación con privilegios mínimos.</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GUIA.md e iniciar.bat – instalación y uso en Windows.</w:t>
      </w:r>
    </w:p>
    <w:p w:rsidR="004C5FFC" w:rsidRDefault="004C5FFC" w:rsidP="004C5FFC">
      <w:pPr>
        <w:spacing w:after="50" w:line="360" w:lineRule="auto"/>
        <w:rPr>
          <w:lang w:val="es-ES"/>
        </w:rPr>
      </w:pPr>
    </w:p>
    <w:p w:rsidR="004C5FFC" w:rsidRDefault="004C5FFC" w:rsidP="004C5FFC">
      <w:pPr>
        <w:spacing w:after="50" w:line="360" w:lineRule="auto"/>
        <w:rPr>
          <w:lang w:val="es-ES"/>
        </w:rPr>
      </w:pPr>
    </w:p>
    <w:p w:rsidR="004C5FFC" w:rsidRPr="004C5FFC" w:rsidRDefault="004C5FFC" w:rsidP="004C5FFC">
      <w:pPr>
        <w:spacing w:after="50" w:line="360" w:lineRule="auto"/>
        <w:rPr>
          <w:lang w:val="es-ES"/>
        </w:rPr>
      </w:pPr>
    </w:p>
    <w:p w:rsidR="00BD3319" w:rsidRPr="004C5FFC" w:rsidRDefault="00407CC3" w:rsidP="004C5FFC">
      <w:pPr>
        <w:pStyle w:val="Ttulo1"/>
        <w:spacing w:line="360" w:lineRule="auto"/>
        <w:rPr>
          <w:color w:val="auto"/>
          <w:lang w:val="es-ES"/>
        </w:rPr>
      </w:pPr>
      <w:r w:rsidRPr="004C5FFC">
        <w:rPr>
          <w:color w:val="auto"/>
          <w:lang w:val="es-ES"/>
        </w:rPr>
        <w:t>2. Análisis de temas relacionados (Marco teórico)</w:t>
      </w:r>
    </w:p>
    <w:p w:rsidR="00BD3319" w:rsidRPr="004C5FFC" w:rsidRDefault="00407CC3" w:rsidP="004C5FFC">
      <w:pPr>
        <w:pStyle w:val="Ttulo2"/>
        <w:spacing w:line="360" w:lineRule="auto"/>
        <w:rPr>
          <w:color w:val="auto"/>
          <w:lang w:val="es-ES"/>
        </w:rPr>
      </w:pPr>
      <w:r w:rsidRPr="004C5FFC">
        <w:rPr>
          <w:color w:val="auto"/>
          <w:lang w:val="es-ES"/>
        </w:rPr>
        <w:t>2.1 Cambios de ISO/IEC 27001:2022 respecto a la edición 2013</w:t>
      </w:r>
    </w:p>
    <w:p w:rsidR="00BD3319" w:rsidRPr="004C5FFC" w:rsidRDefault="00407CC3" w:rsidP="004C5FFC">
      <w:pPr>
        <w:spacing w:after="100" w:line="360" w:lineRule="auto"/>
        <w:jc w:val="both"/>
        <w:rPr>
          <w:lang w:val="es-ES"/>
        </w:rPr>
      </w:pPr>
      <w:r w:rsidRPr="004C5FFC">
        <w:rPr>
          <w:lang w:val="es-ES"/>
        </w:rPr>
        <w:t>La norma ISO/IEC 27001:2022 mantiene la estructura de sistema de gestión (cláusulas 4 a 10) con cambios menores, pero reestructura el Anexo A: de 114 controles en 14 dominios (2013) a 93 controles en cuatro temas (2022): Organizacionales (A.5, 37), Personas (A.6, 8), Físicos (A.7, 14) y Tecnológicos (A.8, 34). Hay fusiones, actualizaciones y 11 controles nuevos; entre ellos destacan para el DBA: Information deletion (A.8.10), Data masking (A.8.11), Data leakage prevention (A.8.12), Monitoring activities (A.8.16) y Configuration management (A.8.9). El Anexo A es un catálogo de referencia; la organización selecciona controles vía evaluación de riesgos y los documenta en la Declaración de Aplicabilidad (SoA). La guía de implementación está en ISO/IEC 27002:2022.</w:t>
      </w:r>
    </w:p>
    <w:p w:rsidR="00BD3319" w:rsidRPr="004C5FFC" w:rsidRDefault="00407CC3" w:rsidP="004C5FFC">
      <w:pPr>
        <w:pStyle w:val="Ttulo2"/>
        <w:spacing w:line="360" w:lineRule="auto"/>
        <w:rPr>
          <w:color w:val="auto"/>
          <w:lang w:val="es-ES"/>
        </w:rPr>
      </w:pPr>
      <w:r w:rsidRPr="004C5FFC">
        <w:rPr>
          <w:color w:val="auto"/>
          <w:lang w:val="es-ES"/>
        </w:rPr>
        <w:t>2.2 Principio de mínimo privilegio y separación de funciones en el rol del DBA</w:t>
      </w:r>
    </w:p>
    <w:p w:rsidR="00BD3319" w:rsidRPr="004C5FFC" w:rsidRDefault="00407CC3" w:rsidP="004C5FFC">
      <w:pPr>
        <w:spacing w:after="100" w:line="360" w:lineRule="auto"/>
        <w:jc w:val="both"/>
        <w:rPr>
          <w:lang w:val="es-ES"/>
        </w:rPr>
      </w:pPr>
      <w:r w:rsidRPr="004C5FFC">
        <w:rPr>
          <w:lang w:val="es-ES"/>
        </w:rPr>
        <w:t>El principio de mínimo privilegio exige conceder solo los privilegios estrictamente necesarios y por el menor tiempo posible. En el DBA implica no otorgar de forma genérica SELECT ANY TABLE, GRANT ANY PRIVILEGE ni el rol DBA a cuentas de aplicación o desarrollo. La separación de funciones evita que la misma persona ejecute una acción crítica y oculte o altere su evidencia. En el laboratorio se separó el dueño de los datos (confi_lab) del dueño de la pista de auditoría (confi_aud), se restringe la manipulación del audit trail y se recomienda custodia distinta de la clave del wallet TDE respecto de quien opera los respaldos.</w:t>
      </w:r>
    </w:p>
    <w:p w:rsidR="00BD3319" w:rsidRPr="004C5FFC" w:rsidRDefault="00407CC3" w:rsidP="004C5FFC">
      <w:pPr>
        <w:pStyle w:val="Ttulo2"/>
        <w:spacing w:line="360" w:lineRule="auto"/>
        <w:rPr>
          <w:color w:val="auto"/>
          <w:lang w:val="es-ES"/>
        </w:rPr>
      </w:pPr>
      <w:r w:rsidRPr="004C5FFC">
        <w:rPr>
          <w:color w:val="auto"/>
          <w:lang w:val="es-ES"/>
        </w:rPr>
        <w:t>2.3 Defensa en profundidad y Zero Trust aplicados a bases de datos</w:t>
      </w:r>
    </w:p>
    <w:p w:rsidR="00BD3319" w:rsidRPr="004C5FFC" w:rsidRDefault="00407CC3" w:rsidP="004C5FFC">
      <w:pPr>
        <w:spacing w:after="100" w:line="360" w:lineRule="auto"/>
        <w:jc w:val="both"/>
        <w:rPr>
          <w:lang w:val="es-ES"/>
        </w:rPr>
      </w:pPr>
      <w:r w:rsidRPr="004C5FFC">
        <w:rPr>
          <w:lang w:val="es-ES"/>
        </w:rPr>
        <w:t>La defensa en profundidad apila capas (autenticación, privilegios mínimos, cifrado en reposo y en tránsito, enmascaramiento, auditoría y monitoreo) para que el fallo de una capa no comprometa toda la confidencialidad. Zero Trust (“nunca confiar, siempre verificar”) elimina la confianza por ubicación de red: toda solicitud a datos sensibles debe autenticarse, autorizarse y cifrarse. En Oracle se concreta con perfiles de contraseña, TCPS/TLS, VPD y revisión periódica de privilegios.</w:t>
      </w:r>
    </w:p>
    <w:p w:rsidR="00BD3319" w:rsidRPr="004C5FFC" w:rsidRDefault="00407CC3" w:rsidP="004C5FFC">
      <w:pPr>
        <w:pStyle w:val="Ttulo2"/>
        <w:spacing w:line="360" w:lineRule="auto"/>
        <w:rPr>
          <w:color w:val="auto"/>
          <w:lang w:val="es-ES"/>
        </w:rPr>
      </w:pPr>
      <w:r w:rsidRPr="004C5FFC">
        <w:rPr>
          <w:color w:val="auto"/>
          <w:lang w:val="es-ES"/>
        </w:rPr>
        <w:t>2.4 Controles técnicos de confidencialidad en Oracle</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Transparent Data Encryption (TDE): cifrado en reposo de tablespaces/columnas; archivos y respaldos ilegibles sin el wallet.</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Data Redaction / Dynamic Data Masking: oculta valores sensibles en tiempo de consulta según el usuario.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Virtual Private Database (VPD) / Row Level Security: filtra filas automáticamente según el contexto.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TLS/TCPS: confidencialidad e integridad de los datos en tránsito.</w:t>
      </w:r>
    </w:p>
    <w:p w:rsidR="00BD3319" w:rsidRDefault="00407CC3" w:rsidP="004C5FFC">
      <w:pPr>
        <w:spacing w:after="100" w:line="360" w:lineRule="auto"/>
        <w:jc w:val="both"/>
        <w:rPr>
          <w:lang w:val="es-ES"/>
        </w:rPr>
      </w:pPr>
      <w:r w:rsidRPr="004C5FFC">
        <w:rPr>
          <w:lang w:val="es-ES"/>
        </w:rPr>
        <w:t>Se alinean con A.5.12 (clasificación), A.8.3 (restricción de acceso), A.8.11 (enmascaramiento) y A.8.12 (prevención de fuga / cifrado).</w:t>
      </w:r>
    </w:p>
    <w:p w:rsidR="004C5FFC" w:rsidRDefault="004C5FFC" w:rsidP="004C5FFC">
      <w:pPr>
        <w:spacing w:after="100" w:line="360" w:lineRule="auto"/>
        <w:jc w:val="both"/>
        <w:rPr>
          <w:lang w:val="es-ES"/>
        </w:rPr>
      </w:pPr>
    </w:p>
    <w:p w:rsidR="004C5FFC" w:rsidRDefault="004C5FFC" w:rsidP="004C5FFC">
      <w:pPr>
        <w:spacing w:after="100" w:line="360" w:lineRule="auto"/>
        <w:jc w:val="both"/>
        <w:rPr>
          <w:lang w:val="es-ES"/>
        </w:rPr>
      </w:pPr>
    </w:p>
    <w:p w:rsidR="004C5FFC" w:rsidRDefault="004C5FFC" w:rsidP="004C5FFC">
      <w:pPr>
        <w:spacing w:after="100" w:line="360" w:lineRule="auto"/>
        <w:jc w:val="both"/>
        <w:rPr>
          <w:lang w:val="es-ES"/>
        </w:rPr>
      </w:pPr>
    </w:p>
    <w:p w:rsidR="004C5FFC" w:rsidRPr="004C5FFC" w:rsidRDefault="004C5FFC" w:rsidP="004C5FFC">
      <w:pPr>
        <w:spacing w:after="100" w:line="360" w:lineRule="auto"/>
        <w:jc w:val="both"/>
        <w:rPr>
          <w:lang w:val="es-ES"/>
        </w:rPr>
      </w:pPr>
    </w:p>
    <w:p w:rsidR="00BD3319" w:rsidRPr="004C5FFC" w:rsidRDefault="00407CC3" w:rsidP="004C5FFC">
      <w:pPr>
        <w:pStyle w:val="Ttulo2"/>
        <w:spacing w:line="360" w:lineRule="auto"/>
        <w:rPr>
          <w:color w:val="auto"/>
          <w:lang w:val="es-ES"/>
        </w:rPr>
      </w:pPr>
      <w:r w:rsidRPr="004C5FFC">
        <w:rPr>
          <w:color w:val="auto"/>
          <w:lang w:val="es-ES"/>
        </w:rPr>
        <w:t>2.5 DLP y gestión de respaldos cifrados</w:t>
      </w:r>
    </w:p>
    <w:p w:rsidR="00BD3319" w:rsidRPr="004C5FFC" w:rsidRDefault="00407CC3" w:rsidP="004C5FFC">
      <w:pPr>
        <w:spacing w:after="100" w:line="360" w:lineRule="auto"/>
        <w:jc w:val="both"/>
        <w:rPr>
          <w:lang w:val="es-ES"/>
        </w:rPr>
      </w:pPr>
      <w:r w:rsidRPr="004C5FFC">
        <w:rPr>
          <w:lang w:val="es-ES"/>
        </w:rPr>
        <w:t>La prevención de fuga de datos busca impedir extracción no autorizada vía exports, clones DEV/TEST o canales de red. Medidas del DBA: respaldos RMAN y exports cifrados; clones con datos enmascarados o sintéticos; control de privilegios de exportación y de directorios OS; eliminación segura (A.8.10). La combinación de TDE, enmascaramiento y privilegios mínimos reduce la exposición de datos personales y financieros.</w:t>
      </w:r>
    </w:p>
    <w:p w:rsidR="00BD3319" w:rsidRPr="004C5FFC" w:rsidRDefault="00407CC3" w:rsidP="004C5FFC">
      <w:pPr>
        <w:pStyle w:val="Ttulo2"/>
        <w:spacing w:line="360" w:lineRule="auto"/>
        <w:rPr>
          <w:color w:val="auto"/>
          <w:lang w:val="es-ES"/>
        </w:rPr>
      </w:pPr>
      <w:r w:rsidRPr="004C5FFC">
        <w:rPr>
          <w:color w:val="auto"/>
          <w:lang w:val="es-ES"/>
        </w:rPr>
        <w:t>2.6 Logging, monitoreo y correlación (SIEM)</w:t>
      </w:r>
    </w:p>
    <w:p w:rsidR="00BD3319" w:rsidRPr="004C5FFC" w:rsidRDefault="00407CC3" w:rsidP="004C5FFC">
      <w:pPr>
        <w:spacing w:after="100" w:line="360" w:lineRule="auto"/>
        <w:jc w:val="both"/>
        <w:rPr>
          <w:lang w:val="es-ES"/>
        </w:rPr>
      </w:pPr>
      <w:r w:rsidRPr="004C5FFC">
        <w:rPr>
          <w:lang w:val="es-ES"/>
        </w:rPr>
        <w:t>La auditoría unificada de Oracle concentra autenticación, privilegios, DDL y acceso a objetos sensibles. La correlación con un SIEM permite detectar patrones anómalos y generar evidencia forense. A.8.15 (Logging) y A.8.16 (Monitoring) formalizan el requisito; A.5.33 protege los propios registros para que no los altere quien administra la base.</w:t>
      </w:r>
    </w:p>
    <w:p w:rsidR="00BD3319" w:rsidRPr="004C5FFC" w:rsidRDefault="00407CC3" w:rsidP="004C5FFC">
      <w:pPr>
        <w:pStyle w:val="Ttulo2"/>
        <w:spacing w:line="360" w:lineRule="auto"/>
        <w:rPr>
          <w:color w:val="auto"/>
          <w:lang w:val="es-ES"/>
        </w:rPr>
      </w:pPr>
      <w:r w:rsidRPr="004C5FFC">
        <w:rPr>
          <w:color w:val="auto"/>
          <w:lang w:val="es-ES"/>
        </w:rPr>
        <w:t>2.7 Normativa costarricense: Ley N.º 8968 y su reglamento</w:t>
      </w:r>
    </w:p>
    <w:p w:rsidR="00BD3319" w:rsidRPr="004C5FFC" w:rsidRDefault="00407CC3" w:rsidP="004C5FFC">
      <w:pPr>
        <w:spacing w:after="100" w:line="360" w:lineRule="auto"/>
        <w:jc w:val="both"/>
        <w:rPr>
          <w:lang w:val="es-ES"/>
        </w:rPr>
      </w:pPr>
      <w:r w:rsidRPr="004C5FFC">
        <w:rPr>
          <w:lang w:val="es-ES"/>
        </w:rPr>
        <w:t>La Ley N.º 8968 y el Decreto Ejecutivo N.º 37554-JP obligan a tratar datos personales (cédula, datos financieros, etc.) con medidas de seguridad adecuadas; reconocen derechos ARCO; exigen inscripción ante PRODHAB cuando corresponda; y regulan consentimiento e incidentes. El DBA implementa en la práctica clasificación, cifrado, enmascaramiento, auditoría y eliminación segura para apoyar el cumplimiento.</w:t>
      </w:r>
    </w:p>
    <w:p w:rsidR="00BD3319" w:rsidRPr="004C5FFC" w:rsidRDefault="00407CC3" w:rsidP="004C5FFC">
      <w:pPr>
        <w:pStyle w:val="Ttulo2"/>
        <w:spacing w:line="360" w:lineRule="auto"/>
        <w:rPr>
          <w:color w:val="auto"/>
          <w:lang w:val="es-ES"/>
        </w:rPr>
      </w:pPr>
      <w:r w:rsidRPr="004C5FFC">
        <w:rPr>
          <w:color w:val="auto"/>
          <w:lang w:val="es-ES"/>
        </w:rPr>
        <w:t>2.8 Síntesis</w:t>
      </w:r>
    </w:p>
    <w:p w:rsidR="00BD3319" w:rsidRPr="004C5FFC" w:rsidRDefault="00407CC3" w:rsidP="004C5FFC">
      <w:pPr>
        <w:spacing w:after="100" w:line="360" w:lineRule="auto"/>
        <w:jc w:val="both"/>
        <w:rPr>
          <w:lang w:val="es-ES"/>
        </w:rPr>
      </w:pPr>
      <w:r w:rsidRPr="004C5FFC">
        <w:rPr>
          <w:lang w:val="es-ES"/>
        </w:rPr>
        <w:t>ISO 27001/27002:2022, mínimo privilegio, separación de funciones, defensa en profundidad y Zero Trust, junto con TDE, Redaction, VPD, TLS, auditoría unificada y respaldos cifrados, y el marco de la Ley 8968, permiten reducir de forma medible los riesgos de confidencialidad y producir evidencias auditables.</w:t>
      </w:r>
    </w:p>
    <w:p w:rsidR="00BD3319" w:rsidRPr="004C5FFC" w:rsidRDefault="00407CC3" w:rsidP="004C5FFC">
      <w:pPr>
        <w:pStyle w:val="Ttulo1"/>
        <w:spacing w:line="360" w:lineRule="auto"/>
        <w:rPr>
          <w:color w:val="auto"/>
          <w:lang w:val="es-ES"/>
        </w:rPr>
      </w:pPr>
      <w:r w:rsidRPr="004C5FFC">
        <w:rPr>
          <w:color w:val="auto"/>
          <w:lang w:val="es-ES"/>
        </w:rPr>
        <w:t>3. Producto esperado – ConfiDBA Studio</w:t>
      </w:r>
    </w:p>
    <w:p w:rsidR="004C5FFC" w:rsidRPr="004C5FFC" w:rsidRDefault="00407CC3" w:rsidP="004C5FFC">
      <w:pPr>
        <w:spacing w:after="100" w:line="360" w:lineRule="auto"/>
        <w:jc w:val="both"/>
        <w:rPr>
          <w:lang w:val="es-ES"/>
        </w:rPr>
      </w:pPr>
      <w:r w:rsidRPr="004C5FFC">
        <w:rPr>
          <w:lang w:val="es-ES"/>
        </w:rPr>
        <w:t>A continuación se presentan las tablas exigidas por la asignación, alineadas con controles.py, los scripts SQL y la lógica de evaluación de la aplicación.</w:t>
      </w:r>
    </w:p>
    <w:p w:rsidR="00BD3319" w:rsidRPr="004C5FFC" w:rsidRDefault="00407CC3" w:rsidP="004C5FFC">
      <w:pPr>
        <w:pStyle w:val="Ttulo2"/>
        <w:spacing w:line="360" w:lineRule="auto"/>
        <w:rPr>
          <w:color w:val="auto"/>
          <w:lang w:val="es-ES"/>
        </w:rPr>
      </w:pPr>
      <w:r w:rsidRPr="004C5FFC">
        <w:rPr>
          <w:color w:val="auto"/>
          <w:lang w:val="es-ES"/>
        </w:rPr>
        <w:t>3.1 Tabla de riesgos R-CONF-01 a R-CONF-05</w:t>
      </w:r>
    </w:p>
    <w:p w:rsidR="00BD3319" w:rsidRPr="004C5FFC" w:rsidRDefault="00407CC3" w:rsidP="004C5FFC">
      <w:pPr>
        <w:spacing w:after="100" w:line="360" w:lineRule="auto"/>
        <w:jc w:val="both"/>
        <w:rPr>
          <w:lang w:val="es-ES"/>
        </w:rPr>
      </w:pPr>
      <w:r w:rsidRPr="004C5FFC">
        <w:rPr>
          <w:lang w:val="es-ES"/>
        </w:rPr>
        <w:t>Impacto y probabilidad en escala 1–5. Inherente = impacto × probabilidad (valores tomados de controles.py: RIES e IP).</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900"/>
        <w:gridCol w:w="900"/>
        <w:gridCol w:w="1100"/>
        <w:gridCol w:w="3324"/>
      </w:tblGrid>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ID</w:t>
            </w:r>
          </w:p>
        </w:tc>
        <w:tc>
          <w:tcPr>
            <w:tcW w:w="28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Riesgo</w:t>
            </w:r>
          </w:p>
        </w:tc>
        <w:tc>
          <w:tcPr>
            <w:tcW w:w="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Impacto</w:t>
            </w:r>
          </w:p>
        </w:tc>
        <w:tc>
          <w:tcPr>
            <w:tcW w:w="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Prob.</w:t>
            </w:r>
          </w:p>
        </w:tc>
        <w:tc>
          <w:tcPr>
            <w:tcW w:w="11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Inherente</w:t>
            </w:r>
          </w:p>
        </w:tc>
        <w:tc>
          <w:tcPr>
            <w:tcW w:w="33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Controles que lo mitigan</w:t>
            </w:r>
          </w:p>
        </w:tc>
      </w:tr>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3"/>
                <w:szCs w:val="13"/>
              </w:rPr>
              <w:t>R-CONF-01</w:t>
            </w:r>
          </w:p>
        </w:tc>
        <w:tc>
          <w:tcPr>
            <w:tcW w:w="2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3"/>
                <w:szCs w:val="13"/>
              </w:rPr>
              <w:t>Exceso de privilegios</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4</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4</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16</w:t>
            </w:r>
          </w:p>
        </w:tc>
        <w:tc>
          <w:tcPr>
            <w:tcW w:w="3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A5.15, A5.18, A8.2, A8.3</w:t>
            </w:r>
          </w:p>
        </w:tc>
      </w:tr>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3"/>
                <w:szCs w:val="13"/>
              </w:rPr>
              <w:t>R-CONF-02</w:t>
            </w:r>
          </w:p>
        </w:tc>
        <w:tc>
          <w:tcPr>
            <w:tcW w:w="2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3"/>
                <w:szCs w:val="13"/>
              </w:rPr>
              <w:t>Acceso por cuentas débiles</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3"/>
                <w:szCs w:val="13"/>
              </w:rPr>
              <w:t>5</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3"/>
                <w:szCs w:val="13"/>
              </w:rPr>
              <w:t>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15</w:t>
            </w:r>
          </w:p>
        </w:tc>
        <w:tc>
          <w:tcPr>
            <w:tcW w:w="3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A5.16, A5.17, A8.5</w:t>
            </w:r>
          </w:p>
        </w:tc>
      </w:tr>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3"/>
                <w:szCs w:val="13"/>
              </w:rPr>
              <w:t>R-CONF-03</w:t>
            </w:r>
          </w:p>
        </w:tc>
        <w:tc>
          <w:tcPr>
            <w:tcW w:w="2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3"/>
                <w:szCs w:val="13"/>
                <w:lang w:val="es-ES"/>
              </w:rPr>
              <w:t>Fuga en respaldos y clones</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4</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4</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16</w:t>
            </w:r>
          </w:p>
        </w:tc>
        <w:tc>
          <w:tcPr>
            <w:tcW w:w="3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A5.12, A8.10, A8.11, A8.13</w:t>
            </w:r>
          </w:p>
        </w:tc>
      </w:tr>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3"/>
                <w:szCs w:val="13"/>
              </w:rPr>
              <w:t>R-CONF-04</w:t>
            </w:r>
          </w:p>
        </w:tc>
        <w:tc>
          <w:tcPr>
            <w:tcW w:w="2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3"/>
                <w:szCs w:val="13"/>
              </w:rPr>
              <w:t>Datos sin cifrar</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3"/>
                <w:szCs w:val="13"/>
              </w:rPr>
              <w:t>5</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3"/>
                <w:szCs w:val="13"/>
              </w:rPr>
              <w:t>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15</w:t>
            </w:r>
          </w:p>
        </w:tc>
        <w:tc>
          <w:tcPr>
            <w:tcW w:w="3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A8.12, A8.20</w:t>
            </w:r>
          </w:p>
        </w:tc>
      </w:tr>
      <w:tr w:rsidR="00BD3319" w:rsidRPr="004C5FFC">
        <w:tblPrEx>
          <w:tblCellMar>
            <w:top w:w="0" w:type="dxa"/>
            <w:bottom w:w="0" w:type="dxa"/>
          </w:tblCellMar>
        </w:tblPrEx>
        <w:tc>
          <w:tcPr>
            <w:tcW w:w="1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3"/>
                <w:szCs w:val="13"/>
              </w:rPr>
              <w:t>R-CONF-05</w:t>
            </w:r>
          </w:p>
        </w:tc>
        <w:tc>
          <w:tcPr>
            <w:tcW w:w="2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3"/>
                <w:szCs w:val="13"/>
              </w:rPr>
              <w:t>Falta de trazabilidad</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4</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3"/>
                <w:szCs w:val="13"/>
              </w:rPr>
              <w:t>3</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12</w:t>
            </w:r>
          </w:p>
        </w:tc>
        <w:tc>
          <w:tcPr>
            <w:tcW w:w="3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A5.33, A8.15</w:t>
            </w:r>
          </w:p>
        </w:tc>
      </w:tr>
    </w:tbl>
    <w:p w:rsidR="004C5FFC" w:rsidRDefault="004C5FFC" w:rsidP="004C5FFC">
      <w:pPr>
        <w:pStyle w:val="Ttulo2"/>
        <w:spacing w:line="360" w:lineRule="auto"/>
        <w:rPr>
          <w:color w:val="auto"/>
          <w:lang w:val="es-ES"/>
        </w:rPr>
      </w:pPr>
    </w:p>
    <w:p w:rsidR="004C5FFC" w:rsidRDefault="004C5FFC" w:rsidP="004C5FFC">
      <w:pPr>
        <w:pStyle w:val="Ttulo2"/>
        <w:spacing w:line="360" w:lineRule="auto"/>
        <w:rPr>
          <w:color w:val="auto"/>
          <w:lang w:val="es-ES"/>
        </w:rPr>
      </w:pPr>
    </w:p>
    <w:p w:rsidR="00BD3319" w:rsidRPr="004C5FFC" w:rsidRDefault="00407CC3" w:rsidP="004C5FFC">
      <w:pPr>
        <w:pStyle w:val="Ttulo2"/>
        <w:spacing w:line="360" w:lineRule="auto"/>
        <w:rPr>
          <w:color w:val="auto"/>
          <w:lang w:val="es-ES"/>
        </w:rPr>
      </w:pPr>
      <w:r w:rsidRPr="004C5FFC">
        <w:rPr>
          <w:color w:val="auto"/>
          <w:lang w:val="es-ES"/>
        </w:rPr>
        <w:t>3.2 Tabla de tareas críticas del DBA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400"/>
        <w:gridCol w:w="1800"/>
        <w:gridCol w:w="3624"/>
      </w:tblGrid>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ID</w:t>
            </w:r>
          </w:p>
        </w:tc>
        <w:tc>
          <w:tcPr>
            <w:tcW w:w="26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Tarea</w:t>
            </w:r>
          </w:p>
        </w:tc>
        <w:tc>
          <w:tcPr>
            <w:tcW w:w="14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Riesgo</w:t>
            </w:r>
          </w:p>
        </w:tc>
        <w:tc>
          <w:tcPr>
            <w:tcW w:w="18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Control(es)</w:t>
            </w:r>
          </w:p>
        </w:tc>
        <w:tc>
          <w:tcPr>
            <w:tcW w:w="36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Evidencia orientativa</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T01</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Gestión de usuarios</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R-CONF-01</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A5.16 / A5.18</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SELECT username, account_status FROM dba_users</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T02</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Gestión de privilegios y roles</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R-CONF-01</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A8.2</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dba_sys_privs; dba_role_privs</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T03</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Autenticación y perfiles</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R-CONF-02</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A5.17 / A8.5</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dba_profiles; dba_users_with_defpwd</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T04</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Cifrado TDE</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R-CONF-04</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A8.12</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v$encryption_wallet</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T05</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Masking y Data Redaction</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R-CONF-03</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A8.11</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redaction_columns</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T06</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Respaldos con RMAN</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R-CONF-03</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A8.13</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v$rman_backup_job_details</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T07</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Auditoría de acciones</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R-CONF-05</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A8.15</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unified_audit_trail</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T08</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Parcheo</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R-CONF-02</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A5.15 (+ A8.8)</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dba_registry_sqlpatch</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T09</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Configuración del listener</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R-CONF-04</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A8.20</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lsnrctl / sqlnet.ora</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T10</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Eliminación segura</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R-CONF-03</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A8.10</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dba_recyclebin</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2"/>
                <w:szCs w:val="12"/>
              </w:rPr>
              <w:t>T11</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Gestión de logs</w:t>
            </w:r>
          </w:p>
        </w:tc>
        <w:tc>
          <w:tcPr>
            <w:tcW w:w="1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R-CONF-05</w:t>
            </w:r>
          </w:p>
        </w:tc>
        <w:tc>
          <w:tcPr>
            <w:tcW w:w="1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A5.33</w:t>
            </w:r>
          </w:p>
        </w:tc>
        <w:tc>
          <w:tcPr>
            <w:tcW w:w="36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v$log; v$archived_log</w:t>
            </w:r>
          </w:p>
        </w:tc>
      </w:tr>
      <w:tr w:rsidR="00BD3319" w:rsidRPr="004C5FFC">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2"/>
                <w:szCs w:val="12"/>
              </w:rPr>
              <w:t>T12</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Clones DEV/TEST</w:t>
            </w:r>
          </w:p>
        </w:tc>
        <w:tc>
          <w:tcPr>
            <w:tcW w:w="1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R-CONF-03</w:t>
            </w:r>
          </w:p>
        </w:tc>
        <w:tc>
          <w:tcPr>
            <w:tcW w:w="1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A5.12</w:t>
            </w:r>
          </w:p>
        </w:tc>
        <w:tc>
          <w:tcPr>
            <w:tcW w:w="36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CLIENTES vs CLIENTES_DEV</w:t>
            </w:r>
          </w:p>
        </w:tc>
      </w:tr>
    </w:tbl>
    <w:p w:rsidR="00BD3319" w:rsidRPr="004C5FFC" w:rsidRDefault="00407CC3" w:rsidP="004C5FFC">
      <w:pPr>
        <w:pStyle w:val="Ttulo2"/>
        <w:spacing w:line="360" w:lineRule="auto"/>
        <w:rPr>
          <w:color w:val="auto"/>
          <w:lang w:val="es-ES"/>
        </w:rPr>
      </w:pPr>
      <w:r w:rsidRPr="004C5FFC">
        <w:rPr>
          <w:color w:val="auto"/>
          <w:lang w:val="es-ES"/>
        </w:rPr>
        <w:t>3.3 Mapeo de controles ISO – implementación y evidencia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600"/>
        <w:gridCol w:w="2400"/>
        <w:gridCol w:w="2324"/>
      </w:tblGrid>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Control</w:t>
            </w:r>
          </w:p>
        </w:tc>
        <w:tc>
          <w:tcPr>
            <w:tcW w:w="20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Nombre</w:t>
            </w:r>
          </w:p>
        </w:tc>
        <w:tc>
          <w:tcPr>
            <w:tcW w:w="26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Implementación sugerida</w:t>
            </w:r>
          </w:p>
        </w:tc>
        <w:tc>
          <w:tcPr>
            <w:tcW w:w="24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Qué comprueba Studio / script</w:t>
            </w:r>
          </w:p>
        </w:tc>
        <w:tc>
          <w:tcPr>
            <w:tcW w:w="23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Resultado esperado</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A5.12</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Clasificación de la información</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COMMENT ON COLUMN ... IS 'CLASIF: CONFIDENCIAL'</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Columnas sensibles con comentario CLASIF:</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Columnas cédula/tarjeta/salario clasificadas</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A5.15</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Control de acceso (PUBLIC)</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REVOKE EXECUTE ON UTL_* FROM PUBLIC</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PUBLIC sin execute sobre UTL_FILE/HTTP/TCP/SMTP</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0 paquetes peligrosos para PUBLIC</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A5.16</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Gestión de identidades</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Bloquear cuentas inactivas; inventario con dueño</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Cuentas OPEN sin uso &gt; 90 días</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Sin cuentas abiertas huérfanas</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A5.17</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Política de contraseñas</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Perfil con FAILED_LOGIN, LIFE_TIME y VERIFY_FUNCTION</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Parámetros de perfil no UNLIMITED</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Perfiles endurecidos</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A5.18</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Derechos de acceso (rol DBA)</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REVOKE DBA; roles específicos</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Cuentas con rol DBA además de SYS/SYSTEM</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Lista mínima de DBA</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A5.33</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Protección de registros</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ARCHIVELOG + multiplexar redo</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log_mode y members de v$log</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ARCHIVELOG; members ≥ 2 (XE: justificar)</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A8.2</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Acceso privilegiado (ANY)</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Privileges concretos, no ANY</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Privilegios %ANY% en no-admin</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0 ANY en cuentas de aplicación</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A8.3</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Restricción de acceso (VPD)</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DBMS_RLS.ADD_POLICY</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Políticas en dba_policies ENABLE=YES</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Políticas activas en esquema</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A8.5</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Autenticación segura</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Cambiar/bloquear defpwd</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dba_users_with_defpwd OPEN</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0 cuentas con clave por defecto</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A8.10</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Eliminación de información</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DROP ... PURGE; PURGE RECYCLEBIN</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Objetos en dba_recyclebin</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Papelera vacía o controlada</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A8.11</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Enmascaramiento de datos</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DBMS_REDACT + clon DEV enmascarado</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redaction_columns / CLIENTES_DEV</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Columnas redactadas o clon enmascarado</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A8.12</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Cifrado en reposo (TDE)</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Wallet TDE + tablespaces cifrados</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v$encryption_wallet; dba_tablespaces</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Wallet OPEN; tablespaces ENCRYPTED</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A8.13</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Copias de seguridad</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RMAN cifrado y restauración probada</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v$rman_backup_job_details</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Último COMPLETED reciente</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A8.15</w:t>
            </w:r>
          </w:p>
        </w:tc>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Registro de eventos</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Políticas de auditoría unificada</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audit_unified_enabled_policies + trail</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Políticas activas y eventos recientes</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A8.20</w:t>
            </w:r>
          </w:p>
        </w:tc>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Seguridad de redes</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SQLNET.ENCRYPTION_SERVER o TCPS</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Banner de v$session_connect_info</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AES/SSL/TLS/TCPS en la conexión</w:t>
            </w:r>
          </w:p>
        </w:tc>
      </w:tr>
    </w:tbl>
    <w:p w:rsidR="00BD3319" w:rsidRPr="004C5FFC" w:rsidRDefault="00407CC3" w:rsidP="004C5FFC">
      <w:pPr>
        <w:pStyle w:val="Ttulo2"/>
        <w:spacing w:line="360" w:lineRule="auto"/>
        <w:rPr>
          <w:color w:val="auto"/>
          <w:lang w:val="es-ES"/>
        </w:rPr>
      </w:pPr>
      <w:r w:rsidRPr="004C5FFC">
        <w:rPr>
          <w:color w:val="auto"/>
          <w:lang w:val="es-ES"/>
        </w:rPr>
        <w:t>3.4 Lista de 15 controles observables (auditor externo)</w:t>
      </w:r>
    </w:p>
    <w:p w:rsidR="00BD3319" w:rsidRPr="004C5FFC" w:rsidRDefault="00407CC3" w:rsidP="004C5FFC">
      <w:pPr>
        <w:spacing w:after="80" w:line="360" w:lineRule="auto"/>
        <w:jc w:val="both"/>
        <w:rPr>
          <w:lang w:val="es-ES"/>
        </w:rPr>
      </w:pPr>
      <w:r w:rsidRPr="004C5FFC">
        <w:rPr>
          <w:lang w:val="es-ES"/>
        </w:rPr>
        <w:t>Implementadas en sql/01_verificacion_controles.sql y evaluables también desde ConfiDBA Studio (modo Oracle o demo).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900"/>
        <w:gridCol w:w="3000"/>
        <w:gridCol w:w="2400"/>
        <w:gridCol w:w="2224"/>
      </w:tblGrid>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ID</w:t>
            </w:r>
          </w:p>
        </w:tc>
        <w:tc>
          <w:tcPr>
            <w:tcW w:w="10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Tipo</w:t>
            </w:r>
          </w:p>
        </w:tc>
        <w:tc>
          <w:tcPr>
            <w:tcW w:w="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Control</w:t>
            </w:r>
          </w:p>
        </w:tc>
        <w:tc>
          <w:tcPr>
            <w:tcW w:w="30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Procedimiento</w:t>
            </w:r>
          </w:p>
        </w:tc>
        <w:tc>
          <w:tcPr>
            <w:tcW w:w="24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Resultado esperado</w:t>
            </w:r>
          </w:p>
        </w:tc>
        <w:tc>
          <w:tcPr>
            <w:tcW w:w="22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Herramienta</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P-01</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A5.12</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dba_col_comments / columnas sensibles CLASIF</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Clasificación presente</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P-02</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A5.15</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Privilegios PUBLIC sobre UTL_*</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0 filas o excepción</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P-03</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A5.16</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dba_users no mantenidos por Oracle</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Sin cuentas abiertas sin uso</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P-04</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Configuración</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A5.17</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dba_profiles (FAILED_LOGIN, LIFE_TIME, VERIFY)</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Sin UNLIMITED en perfiles finales</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P-05</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A5.18</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dba_role_privs rol DBA</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Solo cuentas administrativas</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P-06</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Configuración</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A5.33</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v$database log_mode; v$log members</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ARCHIVELOG; members ≥ 2</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P-07</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A8.2</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dba_sys_privs %ANY%</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0 ANY en aplicación</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P-08</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A8.3</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dba_policies ENABLE=YES</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Política activa en esquema</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P-09</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A8.5</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dba_users_with_defpwd</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0 filas OPEN</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P-10</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A8.10</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dba_recyclebin</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Papelera vacía / controlada</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P-11</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A8.11</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1"/>
                <w:szCs w:val="11"/>
                <w:lang w:val="es-ES"/>
              </w:rPr>
              <w:t>redaction_columns o clon DEV</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Redacción o enmascaramiento</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P-12</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A8.12</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v$encryption_wallet; tablespaces</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Wallet OPEN; cifrado</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P-13</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A8.13</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v$rman_backup_job_details</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COMPLETED reciente</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RMAN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b/>
                <w:bCs/>
                <w:sz w:val="11"/>
                <w:szCs w:val="11"/>
              </w:rPr>
              <w:t>P-14</w:t>
            </w:r>
          </w:p>
        </w:tc>
        <w:tc>
          <w:tcPr>
            <w:tcW w:w="1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A8.15</w:t>
            </w:r>
          </w:p>
        </w:tc>
        <w:tc>
          <w:tcPr>
            <w:tcW w:w="3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audit_unified_enabled_policies; trail</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Políticas y eventos</w:t>
            </w:r>
          </w:p>
        </w:tc>
        <w:tc>
          <w:tcPr>
            <w:tcW w:w="22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SQL Developer / Studio</w:t>
            </w:r>
          </w:p>
        </w:tc>
      </w:tr>
      <w:tr w:rsidR="00BD3319" w:rsidRPr="004C5FFC">
        <w:tblPrEx>
          <w:tblCellMar>
            <w:top w:w="0" w:type="dxa"/>
            <w:bottom w:w="0" w:type="dxa"/>
          </w:tblCellMar>
        </w:tblPrEx>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b/>
                <w:bCs/>
                <w:sz w:val="11"/>
                <w:szCs w:val="11"/>
              </w:rPr>
              <w:t>P-15</w:t>
            </w:r>
          </w:p>
        </w:tc>
        <w:tc>
          <w:tcPr>
            <w:tcW w:w="1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Consulta</w:t>
            </w:r>
          </w:p>
        </w:tc>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A8.20</w:t>
            </w:r>
          </w:p>
        </w:tc>
        <w:tc>
          <w:tcPr>
            <w:tcW w:w="3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v$session_connect_info banner</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Cifrado de red presente</w:t>
            </w:r>
          </w:p>
        </w:tc>
        <w:tc>
          <w:tcPr>
            <w:tcW w:w="22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SQL Developer / Studio</w:t>
            </w:r>
          </w:p>
        </w:tc>
      </w:tr>
    </w:tbl>
    <w:p w:rsidR="00BD3319" w:rsidRPr="004C5FFC" w:rsidRDefault="00407CC3" w:rsidP="004C5FFC">
      <w:pPr>
        <w:pStyle w:val="Ttulo2"/>
        <w:spacing w:line="360" w:lineRule="auto"/>
        <w:rPr>
          <w:color w:val="auto"/>
          <w:lang w:val="es-ES"/>
        </w:rPr>
      </w:pPr>
      <w:r w:rsidRPr="004C5FFC">
        <w:rPr>
          <w:color w:val="auto"/>
          <w:lang w:val="es-ES"/>
        </w:rPr>
        <w:t>3.5 Criterios de madurez 0–4 y equivalencia con ConfiDBA Studio</w:t>
      </w:r>
    </w:p>
    <w:p w:rsidR="00BD3319" w:rsidRPr="004C5FFC" w:rsidRDefault="00407CC3" w:rsidP="004C5FFC">
      <w:pPr>
        <w:spacing w:after="80" w:line="360" w:lineRule="auto"/>
        <w:jc w:val="both"/>
      </w:pPr>
      <w:r w:rsidRPr="004C5FFC">
        <w:rPr>
          <w:lang w:val="es-ES"/>
        </w:rPr>
        <w:t xml:space="preserve">La asignación exige criterios de madurez 0–4. ConfiDBA Studio puntúa cada control en escala 0–1 (0 = no cumple, valores intermedios = parcial, 1 = cumple) y permite ajuste manual. </w:t>
      </w:r>
      <w:r w:rsidRPr="004C5FFC">
        <w:t>La equivalencia oficial usada en este informe es: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200"/>
        <w:gridCol w:w="6024"/>
      </w:tblGrid>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Madurez 0–4</w:t>
            </w:r>
          </w:p>
        </w:tc>
        <w:tc>
          <w:tcPr>
            <w:tcW w:w="11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Studio 0–1</w:t>
            </w:r>
          </w:p>
        </w:tc>
        <w:tc>
          <w:tcPr>
            <w:tcW w:w="22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Nombre</w:t>
            </w:r>
          </w:p>
        </w:tc>
        <w:tc>
          <w:tcPr>
            <w:tcW w:w="60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Descripción operativa</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4"/>
                <w:szCs w:val="14"/>
              </w:rPr>
              <w:t>0</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4"/>
                <w:szCs w:val="14"/>
              </w:rPr>
              <w:t>0.00</w:t>
            </w:r>
          </w:p>
        </w:tc>
        <w:tc>
          <w:tcPr>
            <w:tcW w:w="2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3"/>
                <w:szCs w:val="13"/>
              </w:rPr>
              <w:t>No implementado</w:t>
            </w:r>
          </w:p>
        </w:tc>
        <w:tc>
          <w:tcPr>
            <w:tcW w:w="60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No existe configuración ni evidencia del control.</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4"/>
                <w:szCs w:val="14"/>
              </w:rPr>
              <w:t>1</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4"/>
                <w:szCs w:val="14"/>
              </w:rPr>
              <w:t>0.25</w:t>
            </w:r>
          </w:p>
        </w:tc>
        <w:tc>
          <w:tcPr>
            <w:tcW w:w="22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3"/>
                <w:szCs w:val="13"/>
              </w:rPr>
              <w:t>Inicial / ad hoc</w:t>
            </w:r>
          </w:p>
        </w:tc>
        <w:tc>
          <w:tcPr>
            <w:tcW w:w="60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Medida informal o parcial, sin procedimiento sistemático.</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4"/>
                <w:szCs w:val="14"/>
              </w:rPr>
              <w:t>2</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4"/>
                <w:szCs w:val="14"/>
              </w:rPr>
              <w:t>0.50</w:t>
            </w:r>
          </w:p>
        </w:tc>
        <w:tc>
          <w:tcPr>
            <w:tcW w:w="2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3"/>
                <w:szCs w:val="13"/>
              </w:rPr>
              <w:t>Definido</w:t>
            </w:r>
          </w:p>
        </w:tc>
        <w:tc>
          <w:tcPr>
            <w:tcW w:w="60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Procedimiento o configuración documentada; aplicación inconsistente o no verificada de forma continua.</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4"/>
                <w:szCs w:val="14"/>
              </w:rPr>
              <w:t>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4"/>
                <w:szCs w:val="14"/>
              </w:rPr>
              <w:t>0.75</w:t>
            </w:r>
          </w:p>
        </w:tc>
        <w:tc>
          <w:tcPr>
            <w:tcW w:w="22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3"/>
                <w:szCs w:val="13"/>
              </w:rPr>
              <w:t>Gestionado</w:t>
            </w:r>
          </w:p>
        </w:tc>
        <w:tc>
          <w:tcPr>
            <w:tcW w:w="60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Control implementado, verificado con consultas/scripts y con evidencia observable.</w:t>
            </w:r>
          </w:p>
        </w:tc>
      </w:tr>
      <w:tr w:rsidR="00BD3319" w:rsidRPr="004C5FFC">
        <w:tblPrEx>
          <w:tblCellMar>
            <w:top w:w="0" w:type="dxa"/>
            <w:bottom w:w="0" w:type="dxa"/>
          </w:tblCellMar>
        </w:tblPrEx>
        <w:tc>
          <w:tcPr>
            <w:tcW w:w="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4"/>
                <w:szCs w:val="14"/>
              </w:rPr>
              <w:t>4</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4"/>
                <w:szCs w:val="14"/>
              </w:rPr>
              <w:t>1.00</w:t>
            </w:r>
          </w:p>
        </w:tc>
        <w:tc>
          <w:tcPr>
            <w:tcW w:w="22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3"/>
                <w:szCs w:val="13"/>
              </w:rPr>
              <w:t>Optimizado</w:t>
            </w:r>
          </w:p>
        </w:tc>
        <w:tc>
          <w:tcPr>
            <w:tcW w:w="60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Control automatizado o monitoreado de forma continua, con mejora y métricas.</w:t>
            </w:r>
          </w:p>
        </w:tc>
      </w:tr>
    </w:tbl>
    <w:p w:rsidR="00BD3319" w:rsidRPr="004C5FFC" w:rsidRDefault="00407CC3" w:rsidP="004C5FFC">
      <w:pPr>
        <w:spacing w:before="80" w:after="100" w:line="360" w:lineRule="auto"/>
        <w:jc w:val="both"/>
        <w:rPr>
          <w:lang w:val="es-ES"/>
        </w:rPr>
      </w:pPr>
      <w:r w:rsidRPr="004C5FFC">
        <w:rPr>
          <w:lang w:val="es-ES"/>
        </w:rPr>
        <w:t>Estado en la matriz: 0–1 → No cumple; 2 → Parcial; 3–4 → Cumple. El cumplimiento global de Studio se expresa en porcentaje ponderado (suma valor×peso / suma pesos). Zonas: rojo 0–30 %, amarillo 30–70 %, verde 70–100 %.</w:t>
      </w:r>
    </w:p>
    <w:p w:rsidR="00BD3319" w:rsidRPr="004C5FFC" w:rsidRDefault="00407CC3" w:rsidP="004C5FFC">
      <w:pPr>
        <w:pStyle w:val="Ttulo2"/>
        <w:spacing w:line="360" w:lineRule="auto"/>
        <w:rPr>
          <w:color w:val="auto"/>
          <w:lang w:val="es-ES"/>
        </w:rPr>
      </w:pPr>
      <w:r w:rsidRPr="004C5FFC">
        <w:rPr>
          <w:color w:val="auto"/>
          <w:lang w:val="es-ES"/>
        </w:rPr>
        <w:t>3.6 Matriz de evaluación (Tarea | Riesgo | Control | Madurez 0–4 | Score Studio | Evidencia | Estado)</w:t>
      </w:r>
    </w:p>
    <w:p w:rsidR="00BD3319" w:rsidRPr="004C5FFC" w:rsidRDefault="00407CC3" w:rsidP="004C5FFC">
      <w:pPr>
        <w:spacing w:after="80" w:line="360" w:lineRule="auto"/>
        <w:jc w:val="both"/>
        <w:rPr>
          <w:lang w:val="es-ES"/>
        </w:rPr>
      </w:pPr>
      <w:r w:rsidRPr="004C5FFC">
        <w:rPr>
          <w:lang w:val="es-ES"/>
        </w:rPr>
        <w:t>Valores ilustrativos según el laboratorio y el comportamiento de Studio (modo demo o tras ejecutar el laboratorio). El DBA puede corregir el valor manual en la app; la columna 0–4 es la que reporta este informe a la rúbrica.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100"/>
        <w:gridCol w:w="700"/>
        <w:gridCol w:w="800"/>
        <w:gridCol w:w="2300"/>
        <w:gridCol w:w="2324"/>
      </w:tblGrid>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Tarea</w:t>
            </w:r>
          </w:p>
        </w:tc>
        <w:tc>
          <w:tcPr>
            <w:tcW w:w="11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Riesgo</w:t>
            </w:r>
          </w:p>
        </w:tc>
        <w:tc>
          <w:tcPr>
            <w:tcW w:w="11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Control</w:t>
            </w:r>
          </w:p>
        </w:tc>
        <w:tc>
          <w:tcPr>
            <w:tcW w:w="7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0–4</w:t>
            </w:r>
          </w:p>
        </w:tc>
        <w:tc>
          <w:tcPr>
            <w:tcW w:w="8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0–1</w:t>
            </w:r>
          </w:p>
        </w:tc>
        <w:tc>
          <w:tcPr>
            <w:tcW w:w="23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Evidencia</w:t>
            </w:r>
          </w:p>
        </w:tc>
        <w:tc>
          <w:tcPr>
            <w:tcW w:w="23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Estado</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T01 Gestión de usuarios</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R-CONF-01</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A5.16 / A5.18</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Cuentas e identidades controladas</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T02 Privilegios y roles</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R-CONF-01</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A8.2</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Sin ANY indebidos / DBA mínimo</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T03 Autenticación y perfiles</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R-CONF-02</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A5.17 / A8.5</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Perfiles y defpwd verificados</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T04 Cifrado TDE</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R-CONF-04</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A8.12</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2</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0.50</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Limitado en XE; documentado</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Parcial</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T05 Masking / Redaction</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R-CONF-03</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A8.11</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Clon CLIENTES_DEV enmascarado</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T06 Respaldos RMAN</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A8.13</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2</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0.50</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Política y evidencia de jobs</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Parcial</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T07 Auditoría</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R-CONF-05</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A8.15</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Políticas unificadas en lab</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T08 Parcheo</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R-CONF-02</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A5.15</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2</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0.50</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Revisión de registry/sqlpatch</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Parcial</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T09 Listener / red</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R-CONF-04</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A8.20</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2</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0.50</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Heurística de banner</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Parcial</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T10 Eliminación segura</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A8.10</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3</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0.75</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PURGE / recyclebin controlado</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Cumple</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T11 Gestión de logs</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R-CONF-05</w:t>
            </w:r>
          </w:p>
        </w:tc>
        <w:tc>
          <w:tcPr>
            <w:tcW w:w="11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A5.33</w:t>
            </w:r>
          </w:p>
        </w:tc>
        <w:tc>
          <w:tcPr>
            <w:tcW w:w="7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b/>
                <w:bCs/>
                <w:sz w:val="13"/>
                <w:szCs w:val="13"/>
              </w:rPr>
              <w:t>2</w:t>
            </w:r>
          </w:p>
        </w:tc>
        <w:tc>
          <w:tcPr>
            <w:tcW w:w="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jc w:val="center"/>
            </w:pPr>
            <w:r w:rsidRPr="004C5FFC">
              <w:rPr>
                <w:sz w:val="12"/>
                <w:szCs w:val="12"/>
              </w:rPr>
              <w:t>0.50</w:t>
            </w:r>
          </w:p>
        </w:tc>
        <w:tc>
          <w:tcPr>
            <w:tcW w:w="2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ARCHIVELOG / members (XE)</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Parcial</w:t>
            </w:r>
          </w:p>
        </w:tc>
      </w:tr>
      <w:tr w:rsidR="00BD3319" w:rsidRPr="004C5FFC">
        <w:tblPrEx>
          <w:tblCellMar>
            <w:top w:w="0" w:type="dxa"/>
            <w:bottom w:w="0" w:type="dxa"/>
          </w:tblCellMar>
        </w:tblPrEx>
        <w:tc>
          <w:tcPr>
            <w:tcW w:w="19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T12 Clones DEV/TEST</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R-CONF-03</w:t>
            </w:r>
          </w:p>
        </w:tc>
        <w:tc>
          <w:tcPr>
            <w:tcW w:w="11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A5.12</w:t>
            </w:r>
          </w:p>
        </w:tc>
        <w:tc>
          <w:tcPr>
            <w:tcW w:w="7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b/>
                <w:bCs/>
                <w:sz w:val="13"/>
                <w:szCs w:val="13"/>
              </w:rPr>
              <w:t>4</w:t>
            </w:r>
          </w:p>
        </w:tc>
        <w:tc>
          <w:tcPr>
            <w:tcW w:w="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jc w:val="center"/>
            </w:pPr>
            <w:r w:rsidRPr="004C5FFC">
              <w:rPr>
                <w:sz w:val="12"/>
                <w:szCs w:val="12"/>
              </w:rPr>
              <w:t>1.00</w:t>
            </w:r>
          </w:p>
        </w:tc>
        <w:tc>
          <w:tcPr>
            <w:tcW w:w="2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1"/>
                <w:szCs w:val="11"/>
                <w:lang w:val="es-ES"/>
              </w:rPr>
              <w:t>CLIENTES_DEV sin datos reales</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Cumple</w:t>
            </w:r>
          </w:p>
        </w:tc>
      </w:tr>
    </w:tbl>
    <w:p w:rsidR="004C5FFC" w:rsidRDefault="004C5FFC" w:rsidP="004C5FFC">
      <w:pPr>
        <w:pStyle w:val="Ttulo2"/>
        <w:spacing w:line="360" w:lineRule="auto"/>
        <w:rPr>
          <w:color w:val="auto"/>
        </w:rPr>
      </w:pPr>
    </w:p>
    <w:p w:rsidR="004C5FFC" w:rsidRDefault="004C5FFC" w:rsidP="004C5FFC">
      <w:pPr>
        <w:pStyle w:val="Ttulo2"/>
        <w:spacing w:line="360" w:lineRule="auto"/>
        <w:rPr>
          <w:color w:val="auto"/>
        </w:rPr>
      </w:pPr>
    </w:p>
    <w:p w:rsidR="004C5FFC" w:rsidRDefault="004C5FFC" w:rsidP="004C5FFC">
      <w:pPr>
        <w:pStyle w:val="Ttulo2"/>
        <w:spacing w:line="360" w:lineRule="auto"/>
        <w:rPr>
          <w:color w:val="auto"/>
        </w:rPr>
      </w:pPr>
    </w:p>
    <w:p w:rsidR="00BD3319" w:rsidRPr="004C5FFC" w:rsidRDefault="004C5FFC" w:rsidP="004C5FFC">
      <w:pPr>
        <w:pStyle w:val="Ttulo2"/>
        <w:spacing w:line="360" w:lineRule="auto"/>
        <w:rPr>
          <w:color w:val="auto"/>
          <w:lang w:val="es-ES"/>
        </w:rPr>
      </w:pPr>
      <w:r w:rsidRPr="004C5FFC">
        <w:rPr>
          <w:color w:val="auto"/>
          <w:lang w:val="es-ES"/>
        </w:rPr>
        <w:t>3.</w:t>
      </w:r>
      <w:r>
        <w:rPr>
          <w:color w:val="auto"/>
          <w:lang w:val="es-ES"/>
        </w:rPr>
        <w:t>7</w:t>
      </w:r>
      <w:r w:rsidR="00407CC3" w:rsidRPr="004C5FFC">
        <w:rPr>
          <w:color w:val="auto"/>
          <w:lang w:val="es-ES"/>
        </w:rPr>
        <w:t xml:space="preserve"> Separación de funciones (SoD)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800"/>
        <w:gridCol w:w="2824"/>
      </w:tblGrid>
      <w:tr w:rsidR="00BD3319" w:rsidRPr="004C5FFC">
        <w:tblPrEx>
          <w:tblCellMar>
            <w:top w:w="0" w:type="dxa"/>
            <w:bottom w:w="0" w:type="dxa"/>
          </w:tblCellMar>
        </w:tblPrEx>
        <w:tc>
          <w:tcPr>
            <w:tcW w:w="20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rPr>
                <w:lang w:val="es-ES"/>
              </w:rPr>
            </w:pPr>
            <w:r w:rsidRPr="004C5FFC">
              <w:rPr>
                <w:b/>
                <w:bCs/>
                <w:sz w:val="13"/>
                <w:szCs w:val="13"/>
                <w:lang w:val="es-ES"/>
              </w:rPr>
              <w:t>Rol</w:t>
            </w:r>
          </w:p>
        </w:tc>
        <w:tc>
          <w:tcPr>
            <w:tcW w:w="26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rPr>
                <w:lang w:val="es-ES"/>
              </w:rPr>
            </w:pPr>
            <w:r w:rsidRPr="004C5FFC">
              <w:rPr>
                <w:b/>
                <w:bCs/>
                <w:sz w:val="13"/>
                <w:szCs w:val="13"/>
                <w:lang w:val="es-ES"/>
              </w:rPr>
              <w:t>Puede hacer</w:t>
            </w:r>
          </w:p>
        </w:tc>
        <w:tc>
          <w:tcPr>
            <w:tcW w:w="28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rPr>
                <w:lang w:val="es-ES"/>
              </w:rPr>
            </w:pPr>
            <w:r w:rsidRPr="004C5FFC">
              <w:rPr>
                <w:b/>
                <w:bCs/>
                <w:sz w:val="13"/>
                <w:szCs w:val="13"/>
                <w:lang w:val="es-ES"/>
              </w:rPr>
              <w:t>No debe poder</w:t>
            </w:r>
          </w:p>
        </w:tc>
        <w:tc>
          <w:tcPr>
            <w:tcW w:w="28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rPr>
                <w:lang w:val="es-ES"/>
              </w:rPr>
            </w:pPr>
            <w:r w:rsidRPr="004C5FFC">
              <w:rPr>
                <w:b/>
                <w:bCs/>
                <w:sz w:val="13"/>
                <w:szCs w:val="13"/>
                <w:lang w:val="es-ES"/>
              </w:rPr>
              <w:t>Control práctico</w:t>
            </w:r>
          </w:p>
        </w:tc>
      </w:tr>
      <w:tr w:rsidR="00BD3319" w:rsidRPr="004C5FFC">
        <w:tblPrEx>
          <w:tblCellMar>
            <w:top w:w="0" w:type="dxa"/>
            <w:bottom w:w="0" w:type="dxa"/>
          </w:tblCellMar>
        </w:tblPrEx>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Administrador de BD</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Crear usuarios, respaldos, parches</w:t>
            </w:r>
          </w:p>
        </w:tc>
        <w:tc>
          <w:tcPr>
            <w:tcW w:w="2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Leer datos de negocio ni borrar su rastro</w:t>
            </w:r>
          </w:p>
        </w:tc>
        <w:tc>
          <w:tcPr>
            <w:tcW w:w="28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Revocar SELECT ANY TABLE; auditar acciones</w:t>
            </w:r>
          </w:p>
        </w:tc>
      </w:tr>
      <w:tr w:rsidR="00BD3319" w:rsidRPr="004C5FFC">
        <w:tblPrEx>
          <w:tblCellMar>
            <w:top w:w="0" w:type="dxa"/>
            <w:bottom w:w="0" w:type="dxa"/>
          </w:tblCellMar>
        </w:tblPrEx>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Administrador de seguridad</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Privilegios, políticas y wallet</w:t>
            </w:r>
          </w:p>
        </w:tc>
        <w:tc>
          <w:tcPr>
            <w:tcW w:w="2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Operar respaldos ni modificar datos</w:t>
            </w:r>
          </w:p>
        </w:tc>
        <w:tc>
          <w:tcPr>
            <w:tcW w:w="28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Roles separados; clave wallet en custodia distinta</w:t>
            </w:r>
          </w:p>
        </w:tc>
      </w:tr>
      <w:tr w:rsidR="00BD3319" w:rsidRPr="004C5FFC">
        <w:tblPrEx>
          <w:tblCellMar>
            <w:top w:w="0" w:type="dxa"/>
            <w:bottom w:w="0" w:type="dxa"/>
          </w:tblCellMar>
        </w:tblPrEx>
        <w:tc>
          <w:tcPr>
            <w:tcW w:w="20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2"/>
                <w:szCs w:val="12"/>
              </w:rPr>
              <w:t>Auditor</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Leer pista de auditoría (AUDIT_VIEWER)</w:t>
            </w:r>
          </w:p>
        </w:tc>
        <w:tc>
          <w:tcPr>
            <w:tcW w:w="28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Modificar objetos ni conceder privilegios</w:t>
            </w:r>
          </w:p>
        </w:tc>
        <w:tc>
          <w:tcPr>
            <w:tcW w:w="28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2"/>
                <w:szCs w:val="12"/>
                <w:lang w:val="es-ES"/>
              </w:rPr>
              <w:t>Usuario CONFI_AUD solo lectura</w:t>
            </w:r>
          </w:p>
        </w:tc>
      </w:tr>
      <w:tr w:rsidR="00BD3319" w:rsidRPr="004C5FFC">
        <w:tblPrEx>
          <w:tblCellMar>
            <w:top w:w="0" w:type="dxa"/>
            <w:bottom w:w="0" w:type="dxa"/>
          </w:tblCellMar>
        </w:tblPrEx>
        <w:tc>
          <w:tcPr>
            <w:tcW w:w="20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Desarrollo</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Objetos en DEV</w:t>
            </w:r>
          </w:p>
        </w:tc>
        <w:tc>
          <w:tcPr>
            <w:tcW w:w="28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2"/>
                <w:szCs w:val="12"/>
                <w:lang w:val="es-ES"/>
              </w:rPr>
              <w:t>Acceder a PROD ni datos reales en clones</w:t>
            </w:r>
          </w:p>
        </w:tc>
        <w:tc>
          <w:tcPr>
            <w:tcW w:w="28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2"/>
                <w:szCs w:val="12"/>
              </w:rPr>
              <w:t>Clones enmascarados (CLIENTES_DEV)</w:t>
            </w:r>
          </w:p>
        </w:tc>
      </w:tr>
    </w:tbl>
    <w:p w:rsidR="00BD3319" w:rsidRPr="004C5FFC" w:rsidRDefault="00407CC3" w:rsidP="004C5FFC">
      <w:pPr>
        <w:pStyle w:val="Ttulo1"/>
        <w:spacing w:line="360" w:lineRule="auto"/>
        <w:rPr>
          <w:color w:val="auto"/>
        </w:rPr>
      </w:pPr>
      <w:r w:rsidRPr="004C5FFC">
        <w:rPr>
          <w:color w:val="auto"/>
        </w:rPr>
        <w:t>4. Metodología PHVA aplicada</w:t>
      </w:r>
    </w:p>
    <w:p w:rsidR="00BD3319" w:rsidRPr="004C5FFC" w:rsidRDefault="00407CC3" w:rsidP="004C5FFC">
      <w:pPr>
        <w:pStyle w:val="Ttulo3"/>
        <w:spacing w:line="360" w:lineRule="auto"/>
        <w:rPr>
          <w:color w:val="auto"/>
        </w:rPr>
      </w:pPr>
      <w:r w:rsidRPr="004C5FFC">
        <w:rPr>
          <w:color w:val="auto"/>
        </w:rPr>
        <w:t>Planificar</w:t>
      </w:r>
    </w:p>
    <w:p w:rsidR="00BD3319" w:rsidRPr="004C5FFC" w:rsidRDefault="00407CC3" w:rsidP="004C5FFC">
      <w:pPr>
        <w:spacing w:after="100" w:line="360" w:lineRule="auto"/>
        <w:jc w:val="both"/>
        <w:rPr>
          <w:lang w:val="es-ES"/>
        </w:rPr>
      </w:pPr>
      <w:r w:rsidRPr="004C5FFC">
        <w:rPr>
          <w:lang w:val="es-ES"/>
        </w:rPr>
        <w:t>Se definieron 5 riesgos R-CONF, 12 tareas DBA, 15 controles del Anexo A, la escala 0–4 (y su mapeo a 0–1 de Studio), el laboratorio Oracle XE y las consultas de verificación.</w:t>
      </w:r>
    </w:p>
    <w:p w:rsidR="00BD3319" w:rsidRPr="004C5FFC" w:rsidRDefault="00407CC3" w:rsidP="004C5FFC">
      <w:pPr>
        <w:pStyle w:val="Ttulo3"/>
        <w:spacing w:line="360" w:lineRule="auto"/>
        <w:rPr>
          <w:color w:val="auto"/>
          <w:lang w:val="es-ES"/>
        </w:rPr>
      </w:pPr>
      <w:r w:rsidRPr="004C5FFC">
        <w:rPr>
          <w:color w:val="auto"/>
          <w:lang w:val="es-ES"/>
        </w:rPr>
        <w:t>Hacer</w:t>
      </w:r>
    </w:p>
    <w:p w:rsidR="00BD3319" w:rsidRPr="004C5FFC" w:rsidRDefault="00407CC3" w:rsidP="004C5FFC">
      <w:pPr>
        <w:spacing w:after="100" w:line="360" w:lineRule="auto"/>
        <w:jc w:val="both"/>
        <w:rPr>
          <w:lang w:val="es-ES"/>
        </w:rPr>
      </w:pPr>
      <w:r w:rsidRPr="004C5FFC">
        <w:rPr>
          <w:lang w:val="es-ES"/>
        </w:rPr>
        <w:t>Se implementó el labora</w:t>
      </w:r>
      <w:r w:rsidR="004C5FFC">
        <w:rPr>
          <w:lang w:val="es-ES"/>
        </w:rPr>
        <w:t>torio</w:t>
      </w:r>
      <w:r w:rsidRPr="004C5FFC">
        <w:rPr>
          <w:lang w:val="es-ES"/>
        </w:rPr>
        <w:t>, el usuario auditor, las 15 pruebas</w:t>
      </w:r>
      <w:r w:rsidR="004C5FFC">
        <w:rPr>
          <w:lang w:val="es-ES"/>
        </w:rPr>
        <w:t xml:space="preserve"> </w:t>
      </w:r>
      <w:r w:rsidRPr="004C5FFC">
        <w:rPr>
          <w:lang w:val="es-ES"/>
        </w:rPr>
        <w:t xml:space="preserve"> y ConfiDBA Studio (evaluación automática, pesos, historial, informe y modo demo).</w:t>
      </w:r>
    </w:p>
    <w:p w:rsidR="00BD3319" w:rsidRPr="004C5FFC" w:rsidRDefault="00407CC3" w:rsidP="004C5FFC">
      <w:pPr>
        <w:pStyle w:val="Ttulo3"/>
        <w:spacing w:line="360" w:lineRule="auto"/>
        <w:rPr>
          <w:color w:val="auto"/>
          <w:lang w:val="es-ES"/>
        </w:rPr>
      </w:pPr>
      <w:r w:rsidRPr="004C5FFC">
        <w:rPr>
          <w:color w:val="auto"/>
          <w:lang w:val="es-ES"/>
        </w:rPr>
        <w:t>Verificar</w:t>
      </w:r>
    </w:p>
    <w:p w:rsidR="00BD3319" w:rsidRPr="004C5FFC" w:rsidRDefault="00407CC3" w:rsidP="004C5FFC">
      <w:pPr>
        <w:spacing w:after="100" w:line="360" w:lineRule="auto"/>
        <w:jc w:val="both"/>
        <w:rPr>
          <w:lang w:val="es-ES"/>
        </w:rPr>
      </w:pPr>
      <w:r w:rsidRPr="004C5FFC">
        <w:rPr>
          <w:lang w:val="es-ES"/>
        </w:rPr>
        <w:t>Se ejecutan las pruebas P-01…P-15 y/o una evaluación en Studio (Oracle o demo). Cada control obtiene score 0–1 y hallazgo; se traduce a madurez 0–4. Las limitaciones de XE se registran como evidencia parcial.</w:t>
      </w:r>
    </w:p>
    <w:p w:rsidR="00BD3319" w:rsidRPr="004C5FFC" w:rsidRDefault="00407CC3" w:rsidP="004C5FFC">
      <w:pPr>
        <w:pStyle w:val="Ttulo3"/>
        <w:spacing w:line="360" w:lineRule="auto"/>
        <w:rPr>
          <w:color w:val="auto"/>
          <w:lang w:val="es-ES"/>
        </w:rPr>
      </w:pPr>
      <w:r w:rsidRPr="004C5FFC">
        <w:rPr>
          <w:color w:val="auto"/>
          <w:lang w:val="es-ES"/>
        </w:rPr>
        <w:t>Actuar</w:t>
      </w:r>
    </w:p>
    <w:p w:rsidR="00BD3319" w:rsidRPr="004C5FFC" w:rsidRDefault="00407CC3" w:rsidP="004C5FFC">
      <w:pPr>
        <w:spacing w:after="100" w:line="360" w:lineRule="auto"/>
        <w:jc w:val="both"/>
        <w:rPr>
          <w:lang w:val="es-ES"/>
        </w:rPr>
      </w:pPr>
      <w:r w:rsidRPr="004C5FFC">
        <w:rPr>
          <w:lang w:val="es-ES"/>
        </w:rPr>
        <w:t>Con los hallazgos se proponen acciones (revocar ANY, endurecer perfiles, ARCHIVELOG, clones enmascarados, cifrado de respaldos). Studio permite reevaluar, ajustar manualmente y exportar la matriz actualizada.</w:t>
      </w:r>
    </w:p>
    <w:p w:rsidR="00BD3319" w:rsidRPr="004C5FFC" w:rsidRDefault="00407CC3" w:rsidP="004C5FFC">
      <w:pPr>
        <w:pStyle w:val="Ttulo1"/>
        <w:spacing w:line="360" w:lineRule="auto"/>
        <w:rPr>
          <w:color w:val="auto"/>
          <w:lang w:val="es-ES"/>
        </w:rPr>
      </w:pPr>
      <w:r w:rsidRPr="004C5FFC">
        <w:rPr>
          <w:color w:val="auto"/>
          <w:lang w:val="es-ES"/>
        </w:rPr>
        <w:t>5. Limitaciones del laboratorio (Oracle XE)</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TDE y Data Redaction nativo pueden no estar disponibles o estar limitados en XE: si la consulta falla, Studio asigna 0 y se documenta; el criterio 0–4 puede quedar en 2 (definido/parcial) con justificación.</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VPD puede requerir privilegios o edición específica; el laboratorio prioriza segregación de esquemas y clon enmascarado.</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En XE el número de miembros de redo puede ser 1: se justifica en A5.33.</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A8.20 usa heurística sobre el banner de la sesión (AES/SSL/TLS/TCPS).</w:t>
      </w:r>
    </w:p>
    <w:p w:rsidR="00BD3319" w:rsidRPr="004C5FFC" w:rsidRDefault="00407CC3" w:rsidP="004C5FFC">
      <w:pPr>
        <w:pStyle w:val="Prrafodelista"/>
        <w:numPr>
          <w:ilvl w:val="0"/>
          <w:numId w:val="2"/>
        </w:numPr>
        <w:spacing w:after="50" w:line="360" w:lineRule="auto"/>
        <w:rPr>
          <w:lang w:val="es-ES"/>
        </w:rPr>
      </w:pPr>
      <w:r w:rsidRPr="004C5FFC">
        <w:rPr>
          <w:sz w:val="19"/>
          <w:szCs w:val="19"/>
          <w:lang w:val="es-ES"/>
        </w:rPr>
        <w:t>Las contraseñas de ejemplo de los scripts deben cambiarse fuera del entorno de prueba.</w:t>
      </w:r>
    </w:p>
    <w:p w:rsidR="004C5FFC" w:rsidRDefault="004C5FFC" w:rsidP="004C5FFC">
      <w:pPr>
        <w:spacing w:after="50" w:line="360" w:lineRule="auto"/>
        <w:rPr>
          <w:lang w:val="es-ES"/>
        </w:rPr>
      </w:pPr>
    </w:p>
    <w:p w:rsidR="004C5FFC" w:rsidRDefault="004C5FFC" w:rsidP="004C5FFC">
      <w:pPr>
        <w:spacing w:after="50" w:line="360" w:lineRule="auto"/>
        <w:rPr>
          <w:lang w:val="es-ES"/>
        </w:rPr>
      </w:pPr>
    </w:p>
    <w:p w:rsidR="004C5FFC" w:rsidRDefault="004C5FFC" w:rsidP="004C5FFC">
      <w:pPr>
        <w:spacing w:after="50" w:line="360" w:lineRule="auto"/>
        <w:rPr>
          <w:lang w:val="es-ES"/>
        </w:rPr>
      </w:pPr>
    </w:p>
    <w:p w:rsidR="004C5FFC" w:rsidRDefault="004C5FFC" w:rsidP="004C5FFC">
      <w:pPr>
        <w:spacing w:after="50" w:line="360" w:lineRule="auto"/>
        <w:rPr>
          <w:lang w:val="es-ES"/>
        </w:rPr>
      </w:pPr>
    </w:p>
    <w:p w:rsidR="004C5FFC" w:rsidRDefault="004C5FFC" w:rsidP="004C5FFC">
      <w:pPr>
        <w:spacing w:after="50" w:line="360" w:lineRule="auto"/>
        <w:rPr>
          <w:lang w:val="es-ES"/>
        </w:rPr>
      </w:pPr>
    </w:p>
    <w:p w:rsidR="004C5FFC" w:rsidRPr="004C5FFC" w:rsidRDefault="004C5FFC" w:rsidP="004C5FFC">
      <w:pPr>
        <w:spacing w:after="50" w:line="360" w:lineRule="auto"/>
        <w:rPr>
          <w:lang w:val="es-ES"/>
        </w:rPr>
      </w:pPr>
    </w:p>
    <w:p w:rsidR="00BD3319" w:rsidRPr="004C5FFC" w:rsidRDefault="00407CC3" w:rsidP="004C5FFC">
      <w:pPr>
        <w:pStyle w:val="Ttulo1"/>
        <w:spacing w:line="360" w:lineRule="auto"/>
        <w:rPr>
          <w:color w:val="auto"/>
          <w:lang w:val="es-ES"/>
        </w:rPr>
      </w:pPr>
      <w:r w:rsidRPr="004C5FFC">
        <w:rPr>
          <w:color w:val="auto"/>
          <w:lang w:val="es-ES"/>
        </w:rPr>
        <w:t>6. Uso ético y documentado de Inteligencia Artificial</w:t>
      </w:r>
    </w:p>
    <w:p w:rsidR="00BD3319" w:rsidRPr="004C5FFC" w:rsidRDefault="00407CC3" w:rsidP="004C5FFC">
      <w:pPr>
        <w:spacing w:after="100" w:line="360" w:lineRule="auto"/>
        <w:jc w:val="both"/>
      </w:pPr>
      <w:r w:rsidRPr="004C5FFC">
        <w:rPr>
          <w:lang w:val="es-ES"/>
        </w:rPr>
        <w:t xml:space="preserve">El uso de IA generativa está permitido y fomentado por la asignación, siempre que se documente. </w:t>
      </w:r>
      <w:r w:rsidRPr="004C5FFC">
        <w:t>Todo aporte se validó contra fuentes oficiales.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600"/>
        <w:gridCol w:w="2600"/>
        <w:gridCol w:w="2324"/>
      </w:tblGrid>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Herramienta IA</w:t>
            </w:r>
          </w:p>
        </w:tc>
        <w:tc>
          <w:tcPr>
            <w:tcW w:w="24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Prompt exacto utilizado</w:t>
            </w:r>
          </w:p>
        </w:tc>
        <w:tc>
          <w:tcPr>
            <w:tcW w:w="16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Aporte de la IA</w:t>
            </w:r>
          </w:p>
        </w:tc>
        <w:tc>
          <w:tcPr>
            <w:tcW w:w="2600"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Validación / Corrección del estudiante</w:t>
            </w:r>
          </w:p>
        </w:tc>
        <w:tc>
          <w:tcPr>
            <w:tcW w:w="2324" w:type="dxa"/>
            <w:tcBorders>
              <w:top w:val="single" w:sz="4" w:space="0" w:color="666666"/>
              <w:left w:val="single" w:sz="4" w:space="0" w:color="666666"/>
              <w:bottom w:val="single" w:sz="4" w:space="0" w:color="666666"/>
              <w:right w:val="single" w:sz="4" w:space="0" w:color="666666"/>
            </w:tcBorders>
            <w:shd w:val="clear" w:color="auto" w:fill="0E7C86"/>
            <w:vAlign w:val="center"/>
          </w:tcPr>
          <w:p w:rsidR="00BD3319" w:rsidRPr="004C5FFC" w:rsidRDefault="00407CC3" w:rsidP="004C5FFC">
            <w:pPr>
              <w:spacing w:before="36" w:after="36" w:line="360" w:lineRule="auto"/>
              <w:jc w:val="center"/>
            </w:pPr>
            <w:r w:rsidRPr="004C5FFC">
              <w:rPr>
                <w:b/>
                <w:bCs/>
                <w:sz w:val="13"/>
                <w:szCs w:val="13"/>
              </w:rPr>
              <w:t>Fuente verificada</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ChatGPT / Claude</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Lista los controles del Anexo A ISO 27001:2022 relevantes para confidencialidad en DBA Oracle (privilegios, cifrado, auditoría, enmascaramiento).</w:t>
            </w:r>
          </w:p>
        </w:tc>
        <w:tc>
          <w:tcPr>
            <w:tcW w:w="1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Lista inicial A5/A8</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0"/>
                <w:szCs w:val="10"/>
                <w:lang w:val="es-ES"/>
              </w:rPr>
              <w:t xml:space="preserve">Filtré los 15 de la asignación; descarté no aplicables (ej. </w:t>
            </w:r>
            <w:r w:rsidRPr="004C5FFC">
              <w:rPr>
                <w:sz w:val="10"/>
                <w:szCs w:val="10"/>
              </w:rPr>
              <w:t>A8.4).</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0"/>
                <w:szCs w:val="10"/>
              </w:rPr>
              <w:t>ISO/IEC 27002:2022</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ChatGPT / Claude</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Genera 5 riesgos R-CONF del DBA Oracle con impacto y probabilidad 1-5 y controles ISO que los mitigan.</w:t>
            </w:r>
          </w:p>
        </w:tc>
        <w:tc>
          <w:tcPr>
            <w:tcW w:w="1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Borrador de riesgos</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Ajusté nombres e inherentes en controles.py (16, 15, 16, 15, 12).</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0"/>
                <w:szCs w:val="10"/>
              </w:rPr>
              <w:t>Oracle Security Guide + ISO 27002</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ChatGPT</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Consultas SQL Oracle 19c/21c para privilegios ANY, DBA, perfiles, defpwd, VPD, redaction, wallet TDE, recyclebin, unified audit y cifrado de red.</w:t>
            </w:r>
          </w:p>
        </w:tc>
        <w:tc>
          <w:tcPr>
            <w:tcW w:w="1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Borradores SELECT</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Corregí vistas y filtros; integré en controles.py y 01_verificacion_controles.sql.</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0"/>
                <w:szCs w:val="10"/>
              </w:rPr>
              <w:t>Oracle Database Security Guide 21c</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Claude / ChatGPT</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Explica TDE, Data Redaction y VPD y su relación con A8.11, A8.12 y A8.3.</w:t>
            </w:r>
          </w:p>
        </w:tc>
        <w:tc>
          <w:tcPr>
            <w:tcW w:w="1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Resumen técnico</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Documenté limitaciones en XE y puntaje parcial cuando la opción no está.</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0"/>
                <w:szCs w:val="10"/>
              </w:rPr>
              <w:t>Oracle Advanced Security Guide</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ChatGPT</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Cambios principales ISO 27001:2022 vs 2013 (Anexo A, 93 controles, 4 temas).</w:t>
            </w:r>
          </w:p>
        </w:tc>
        <w:tc>
          <w:tcPr>
            <w:tcW w:w="1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Resumen estructura 2022</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Confirmé 4 temas; usé en el marco teórico.</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0"/>
                <w:szCs w:val="10"/>
              </w:rPr>
              <w:t>ISO/IEC 27001:2022 y 27002:2022</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ChatGPT / Claude</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Exigencias de la Ley 8968 de Costa Rica sobre datos sensibles en BD y relación con controles del DBA.</w:t>
            </w:r>
          </w:p>
        </w:tc>
        <w:tc>
          <w:tcPr>
            <w:tcW w:w="1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Puntos clave Ley 8968</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Contrasté con reglamento y con comentarios CLASIF del laboratorio.</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0"/>
                <w:szCs w:val="10"/>
              </w:rPr>
              <w:t>Ley 8968 y Reglamento</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Claude</w:t>
            </w:r>
          </w:p>
        </w:tc>
        <w:tc>
          <w:tcPr>
            <w:tcW w:w="24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Matriz de evaluación ISO para DBA: Tarea, Riesgo, Control, Criterio 0-4, Evidencia, Estado.</w:t>
            </w:r>
          </w:p>
        </w:tc>
        <w:tc>
          <w:tcPr>
            <w:tcW w:w="1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pPr>
            <w:r w:rsidRPr="004C5FFC">
              <w:rPr>
                <w:sz w:val="11"/>
                <w:szCs w:val="11"/>
              </w:rPr>
              <w:t>Estructura de matriz</w:t>
            </w:r>
          </w:p>
        </w:tc>
        <w:tc>
          <w:tcPr>
            <w:tcW w:w="2600"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Definí equivalencia 0–1 (Studio) ↔ 0–4 (rúbrica) y la documenté en este informe.</w:t>
            </w:r>
          </w:p>
        </w:tc>
        <w:tc>
          <w:tcPr>
            <w:tcW w:w="2324" w:type="dxa"/>
            <w:tcBorders>
              <w:top w:val="single" w:sz="4" w:space="0" w:color="666666"/>
              <w:left w:val="single" w:sz="4" w:space="0" w:color="666666"/>
              <w:bottom w:val="single" w:sz="4" w:space="0" w:color="666666"/>
              <w:right w:val="single" w:sz="4" w:space="0" w:color="666666"/>
            </w:tcBorders>
            <w:vAlign w:val="center"/>
          </w:tcPr>
          <w:p w:rsidR="00BD3319" w:rsidRPr="004C5FFC" w:rsidRDefault="00407CC3" w:rsidP="004C5FFC">
            <w:pPr>
              <w:spacing w:before="36" w:after="36" w:line="360" w:lineRule="auto"/>
              <w:rPr>
                <w:lang w:val="es-ES"/>
              </w:rPr>
            </w:pPr>
            <w:r w:rsidRPr="004C5FFC">
              <w:rPr>
                <w:sz w:val="10"/>
                <w:szCs w:val="10"/>
                <w:lang w:val="es-ES"/>
              </w:rPr>
              <w:t>Rúbrica de la asignación + ISO 27002</w:t>
            </w:r>
          </w:p>
        </w:tc>
      </w:tr>
      <w:tr w:rsidR="00BD3319"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ChatGPT</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Laboratorio SQL Oracle 21c XE: datos personales, CLASIF, clon DEV enmascarado, auditoría unificada, usuario auditor mínimo privilegio.</w:t>
            </w:r>
          </w:p>
        </w:tc>
        <w:tc>
          <w:tcPr>
            <w:tcW w:w="1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1"/>
                <w:szCs w:val="11"/>
              </w:rPr>
              <w:t>Borrador de laboratorio</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rPr>
                <w:lang w:val="es-ES"/>
              </w:rPr>
            </w:pPr>
            <w:r w:rsidRPr="004C5FFC">
              <w:rPr>
                <w:sz w:val="10"/>
                <w:szCs w:val="10"/>
                <w:lang w:val="es-ES"/>
              </w:rPr>
              <w:t>Reescribí y endurecí scripts (esquemas separados, PURGE, políticas, verificación independiente).</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BD3319" w:rsidRPr="004C5FFC" w:rsidRDefault="00407CC3" w:rsidP="004C5FFC">
            <w:pPr>
              <w:spacing w:before="36" w:after="36" w:line="360" w:lineRule="auto"/>
            </w:pPr>
            <w:r w:rsidRPr="004C5FFC">
              <w:rPr>
                <w:sz w:val="10"/>
                <w:szCs w:val="10"/>
              </w:rPr>
              <w:t>Oracle Administrator’s / Security Guide</w:t>
            </w:r>
          </w:p>
        </w:tc>
      </w:tr>
      <w:tr w:rsidR="00407CC3" w:rsidRPr="004C5FFC">
        <w:tblPrEx>
          <w:tblCellMar>
            <w:top w:w="0" w:type="dxa"/>
            <w:bottom w:w="0" w:type="dxa"/>
          </w:tblCellMar>
        </w:tblPrEx>
        <w:tc>
          <w:tcPr>
            <w:tcW w:w="13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407CC3" w:rsidRPr="004C5FFC" w:rsidRDefault="00407CC3" w:rsidP="004C5FFC">
            <w:pPr>
              <w:spacing w:before="36" w:after="36" w:line="360" w:lineRule="auto"/>
              <w:rPr>
                <w:sz w:val="10"/>
                <w:szCs w:val="10"/>
                <w:lang w:val="es-ES"/>
              </w:rPr>
            </w:pPr>
            <w:r w:rsidRPr="004C5FFC">
              <w:rPr>
                <w:sz w:val="10"/>
                <w:szCs w:val="10"/>
                <w:lang w:val="es-ES"/>
              </w:rPr>
              <w:t>Claude</w:t>
            </w:r>
          </w:p>
        </w:tc>
        <w:tc>
          <w:tcPr>
            <w:tcW w:w="24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407CC3" w:rsidRPr="004C5FFC" w:rsidRDefault="00407CC3" w:rsidP="004C5FFC">
            <w:pPr>
              <w:spacing w:before="36" w:after="36" w:line="360" w:lineRule="auto"/>
              <w:rPr>
                <w:sz w:val="10"/>
                <w:szCs w:val="10"/>
                <w:lang w:val="es-ES"/>
              </w:rPr>
            </w:pPr>
            <w:r w:rsidRPr="004C5FFC">
              <w:rPr>
                <w:sz w:val="10"/>
                <w:szCs w:val="10"/>
                <w:lang w:val="es-ES"/>
              </w:rPr>
              <w:t>Redacta de manera profesional, el siguiente informe, mantén la información, corrige estructura y redacción.</w:t>
            </w:r>
          </w:p>
        </w:tc>
        <w:tc>
          <w:tcPr>
            <w:tcW w:w="1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407CC3" w:rsidRPr="004C5FFC" w:rsidRDefault="00407CC3" w:rsidP="004C5FFC">
            <w:pPr>
              <w:spacing w:before="36" w:after="36" w:line="360" w:lineRule="auto"/>
              <w:rPr>
                <w:sz w:val="10"/>
                <w:szCs w:val="10"/>
                <w:lang w:val="es-ES"/>
              </w:rPr>
            </w:pPr>
            <w:r w:rsidRPr="004C5FFC">
              <w:rPr>
                <w:sz w:val="10"/>
                <w:szCs w:val="10"/>
                <w:lang w:val="es-ES"/>
              </w:rPr>
              <w:t xml:space="preserve">Redacción y revision de Informe final </w:t>
            </w:r>
          </w:p>
        </w:tc>
        <w:tc>
          <w:tcPr>
            <w:tcW w:w="2600"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407CC3" w:rsidRPr="004C5FFC" w:rsidRDefault="00407CC3" w:rsidP="004C5FFC">
            <w:pPr>
              <w:spacing w:before="36" w:after="36" w:line="360" w:lineRule="auto"/>
              <w:rPr>
                <w:sz w:val="10"/>
                <w:szCs w:val="10"/>
                <w:lang w:val="es-ES"/>
              </w:rPr>
            </w:pPr>
            <w:r w:rsidRPr="004C5FFC">
              <w:rPr>
                <w:sz w:val="10"/>
                <w:szCs w:val="10"/>
                <w:lang w:val="es-ES"/>
              </w:rPr>
              <w:t xml:space="preserve">ajuste portada y revise estructura, verifique que se mantuvuera la informacion adecuada </w:t>
            </w:r>
          </w:p>
        </w:tc>
        <w:tc>
          <w:tcPr>
            <w:tcW w:w="2324" w:type="dxa"/>
            <w:tcBorders>
              <w:top w:val="single" w:sz="4" w:space="0" w:color="666666"/>
              <w:left w:val="single" w:sz="4" w:space="0" w:color="666666"/>
              <w:bottom w:val="single" w:sz="4" w:space="0" w:color="666666"/>
              <w:right w:val="single" w:sz="4" w:space="0" w:color="666666"/>
            </w:tcBorders>
            <w:shd w:val="clear" w:color="auto" w:fill="E8F4F6"/>
            <w:vAlign w:val="center"/>
          </w:tcPr>
          <w:p w:rsidR="00407CC3" w:rsidRPr="004C5FFC" w:rsidRDefault="00407CC3" w:rsidP="004C5FFC">
            <w:pPr>
              <w:spacing w:before="36" w:after="36" w:line="360" w:lineRule="auto"/>
              <w:rPr>
                <w:sz w:val="10"/>
                <w:szCs w:val="10"/>
                <w:lang w:val="es-ES"/>
              </w:rPr>
            </w:pPr>
          </w:p>
          <w:p w:rsidR="00407CC3" w:rsidRPr="004C5FFC" w:rsidRDefault="00407CC3" w:rsidP="004C5FFC">
            <w:pPr>
              <w:spacing w:before="36" w:after="36" w:line="360" w:lineRule="auto"/>
              <w:rPr>
                <w:sz w:val="10"/>
                <w:szCs w:val="10"/>
                <w:lang w:val="es-ES"/>
              </w:rPr>
            </w:pPr>
            <w:r w:rsidRPr="004C5FFC">
              <w:rPr>
                <w:sz w:val="10"/>
                <w:szCs w:val="10"/>
                <w:lang w:val="es-ES"/>
              </w:rPr>
              <w:t>Rúbrica de la asignación + ISO 27002</w:t>
            </w:r>
          </w:p>
        </w:tc>
      </w:tr>
    </w:tbl>
    <w:p w:rsidR="00BD3319" w:rsidRPr="004C5FFC" w:rsidRDefault="00407CC3" w:rsidP="004C5FFC">
      <w:pPr>
        <w:pStyle w:val="Ttulo2"/>
        <w:spacing w:line="360" w:lineRule="auto"/>
        <w:rPr>
          <w:color w:val="auto"/>
        </w:rPr>
      </w:pPr>
      <w:r w:rsidRPr="004C5FFC">
        <w:rPr>
          <w:color w:val="auto"/>
        </w:rPr>
        <w:t>6.1 Declaración jurada</w:t>
      </w:r>
    </w:p>
    <w:p w:rsidR="00BD3319" w:rsidRPr="004C5FFC" w:rsidRDefault="00407CC3" w:rsidP="004C5FFC">
      <w:pPr>
        <w:pBdr>
          <w:left w:val="single" w:sz="24" w:space="0" w:color="0E7C86"/>
        </w:pBdr>
        <w:spacing w:before="100" w:after="100" w:line="360" w:lineRule="auto"/>
        <w:ind w:left="200"/>
        <w:rPr>
          <w:sz w:val="22"/>
          <w:lang w:val="es-ES"/>
        </w:rPr>
      </w:pPr>
      <w:r w:rsidRPr="004C5FFC">
        <w:rPr>
          <w:i/>
          <w:iCs/>
          <w:sz w:val="18"/>
          <w:szCs w:val="17"/>
          <w:lang w:val="es-ES"/>
        </w:rPr>
        <w:t>Yo, Liseth Vallejos Gonzales, declaro que todo contenido generado con IA ha sido declarado en la tabla anterior, validado contra fuentes oficiales (ISO/IEC 27001:2022, ISO/IEC 27002:2022, documentación oficial de Oracle Database y Ley 8968 de Costa Rica) y que asumo responsabilidad por su veracidad. Entiendo que omitir esta declaración constituye falta grave según el Reglamento de Faltas Estudiantiles de la UNA.</w:t>
      </w:r>
    </w:p>
    <w:p w:rsidR="00BD3319" w:rsidRPr="004C5FFC" w:rsidRDefault="00407CC3" w:rsidP="004C5FFC">
      <w:pPr>
        <w:spacing w:after="160" w:line="360" w:lineRule="auto"/>
        <w:rPr>
          <w:sz w:val="22"/>
          <w:lang w:val="es-ES"/>
        </w:rPr>
      </w:pPr>
      <w:r w:rsidRPr="004C5FFC">
        <w:rPr>
          <w:sz w:val="22"/>
          <w:lang w:val="es-ES"/>
        </w:rPr>
        <w:t>Firma: Liseth Vallejos Gonzales</w:t>
      </w:r>
      <w:r w:rsidR="004C5FFC" w:rsidRPr="004C5FFC">
        <w:rPr>
          <w:sz w:val="22"/>
          <w:lang w:val="es-ES"/>
        </w:rPr>
        <w:t>_____________</w:t>
      </w:r>
      <w:r w:rsidRPr="004C5FFC">
        <w:rPr>
          <w:sz w:val="22"/>
          <w:lang w:val="es-ES"/>
        </w:rPr>
        <w:t xml:space="preserve">    Fecha: 27/10/2026</w:t>
      </w:r>
    </w:p>
    <w:p w:rsidR="004C5FFC" w:rsidRPr="004C5FFC" w:rsidRDefault="004C5FFC" w:rsidP="004C5FFC">
      <w:pPr>
        <w:spacing w:after="160" w:line="360" w:lineRule="auto"/>
        <w:rPr>
          <w:sz w:val="22"/>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Default="004C5FFC" w:rsidP="004C5FFC">
      <w:pPr>
        <w:spacing w:after="160" w:line="360" w:lineRule="auto"/>
        <w:rPr>
          <w:lang w:val="es-ES"/>
        </w:rPr>
      </w:pPr>
    </w:p>
    <w:p w:rsidR="004C5FFC" w:rsidRPr="004C5FFC" w:rsidRDefault="004C5FFC" w:rsidP="004C5FFC">
      <w:pPr>
        <w:spacing w:after="160" w:line="360" w:lineRule="auto"/>
        <w:rPr>
          <w:lang w:val="es-ES"/>
        </w:rPr>
      </w:pPr>
    </w:p>
    <w:p w:rsidR="00BD3319" w:rsidRPr="004C5FFC" w:rsidRDefault="00407CC3" w:rsidP="004C5FFC">
      <w:pPr>
        <w:pStyle w:val="Ttulo1"/>
        <w:spacing w:line="360" w:lineRule="auto"/>
        <w:rPr>
          <w:color w:val="auto"/>
          <w:lang w:val="es-ES"/>
        </w:rPr>
      </w:pPr>
      <w:r w:rsidRPr="004C5FFC">
        <w:rPr>
          <w:color w:val="auto"/>
          <w:lang w:val="es-ES"/>
        </w:rPr>
        <w:t>7. Referencias (APA 7)</w:t>
      </w:r>
    </w:p>
    <w:p w:rsidR="004C5FFC" w:rsidRPr="004C5FFC" w:rsidRDefault="004C5FFC" w:rsidP="004C5FFC">
      <w:pPr>
        <w:pStyle w:val="NormalWeb"/>
        <w:spacing w:line="360" w:lineRule="auto"/>
        <w:rPr>
          <w:rFonts w:ascii="Arial" w:hAnsi="Arial" w:cs="Arial"/>
          <w:sz w:val="20"/>
        </w:rPr>
      </w:pPr>
      <w:r w:rsidRPr="004C5FFC">
        <w:rPr>
          <w:rStyle w:val="Textoennegrita"/>
          <w:rFonts w:ascii="Arial" w:hAnsi="Arial" w:cs="Arial"/>
          <w:sz w:val="20"/>
          <w:lang w:val="es-ES"/>
        </w:rPr>
        <w:t>Asamblea Legislativa de la República de Costa Rica.</w:t>
      </w:r>
      <w:r w:rsidRPr="004C5FFC">
        <w:rPr>
          <w:rFonts w:ascii="Arial" w:hAnsi="Arial" w:cs="Arial"/>
          <w:sz w:val="20"/>
          <w:lang w:val="es-ES"/>
        </w:rPr>
        <w:t xml:space="preserve"> (2011). </w:t>
      </w:r>
      <w:r w:rsidRPr="004C5FFC">
        <w:rPr>
          <w:rStyle w:val="nfasis"/>
          <w:rFonts w:ascii="Arial" w:hAnsi="Arial" w:cs="Arial"/>
          <w:sz w:val="20"/>
          <w:lang w:val="es-ES"/>
        </w:rPr>
        <w:t>Ley N.º 8968. Ley de Protección de la Persona frente al Tratamiento de sus Datos Personales</w:t>
      </w:r>
      <w:r w:rsidRPr="004C5FFC">
        <w:rPr>
          <w:rFonts w:ascii="Arial" w:hAnsi="Arial" w:cs="Arial"/>
          <w:sz w:val="20"/>
          <w:lang w:val="es-ES"/>
        </w:rPr>
        <w:t xml:space="preserve">. </w:t>
      </w:r>
      <w:hyperlink r:id="rId8" w:tgtFrame="_blank" w:history="1">
        <w:r w:rsidRPr="004C5FFC">
          <w:rPr>
            <w:rStyle w:val="Hipervnculo"/>
            <w:rFonts w:ascii="Arial" w:hAnsi="Arial" w:cs="Arial"/>
            <w:color w:val="auto"/>
            <w:sz w:val="20"/>
          </w:rPr>
          <w:t>http://www.pgrweb.go.cr/scij/Busqueda/Normativa/Normas/nrm_texto_completo.aspx?param1=NRTC&amp;nValor1=1&amp;nValor2=70975</w:t>
        </w:r>
      </w:hyperlink>
    </w:p>
    <w:p w:rsidR="004C5FFC" w:rsidRPr="004C5FFC" w:rsidRDefault="004C5FFC" w:rsidP="004C5FFC">
      <w:pPr>
        <w:pStyle w:val="NormalWeb"/>
        <w:spacing w:line="360" w:lineRule="auto"/>
        <w:rPr>
          <w:rFonts w:ascii="Arial" w:hAnsi="Arial" w:cs="Arial"/>
          <w:sz w:val="20"/>
        </w:rPr>
      </w:pPr>
      <w:r w:rsidRPr="004C5FFC">
        <w:rPr>
          <w:rStyle w:val="Textoennegrita"/>
          <w:rFonts w:ascii="Arial" w:hAnsi="Arial" w:cs="Arial"/>
          <w:sz w:val="20"/>
        </w:rPr>
        <w:t>International Organization for Standardization.</w:t>
      </w:r>
      <w:r w:rsidRPr="004C5FFC">
        <w:rPr>
          <w:rFonts w:ascii="Arial" w:hAnsi="Arial" w:cs="Arial"/>
          <w:sz w:val="20"/>
        </w:rPr>
        <w:t xml:space="preserve"> (2022a). </w:t>
      </w:r>
      <w:r w:rsidRPr="004C5FFC">
        <w:rPr>
          <w:rStyle w:val="nfasis"/>
          <w:rFonts w:ascii="Arial" w:hAnsi="Arial" w:cs="Arial"/>
          <w:sz w:val="20"/>
        </w:rPr>
        <w:t>ISO/IEC 27001:2022. Information security, cybersecurity and privacy protection — Information security management systems — Requirements</w:t>
      </w:r>
      <w:r w:rsidRPr="004C5FFC">
        <w:rPr>
          <w:rFonts w:ascii="Arial" w:hAnsi="Arial" w:cs="Arial"/>
          <w:sz w:val="20"/>
        </w:rPr>
        <w:t xml:space="preserve">. </w:t>
      </w:r>
      <w:hyperlink r:id="rId9" w:tgtFrame="_blank" w:history="1">
        <w:r w:rsidRPr="004C5FFC">
          <w:rPr>
            <w:rStyle w:val="Hipervnculo"/>
            <w:rFonts w:ascii="Arial" w:hAnsi="Arial" w:cs="Arial"/>
            <w:color w:val="auto"/>
            <w:sz w:val="20"/>
          </w:rPr>
          <w:t>https://www.iso.org/standard/27001.html</w:t>
        </w:r>
      </w:hyperlink>
    </w:p>
    <w:p w:rsidR="004C5FFC" w:rsidRPr="004C5FFC" w:rsidRDefault="004C5FFC" w:rsidP="004C5FFC">
      <w:pPr>
        <w:pStyle w:val="NormalWeb"/>
        <w:spacing w:line="360" w:lineRule="auto"/>
        <w:rPr>
          <w:rFonts w:ascii="Arial" w:hAnsi="Arial" w:cs="Arial"/>
          <w:sz w:val="20"/>
          <w:lang w:val="es-ES"/>
        </w:rPr>
      </w:pPr>
      <w:r w:rsidRPr="004C5FFC">
        <w:rPr>
          <w:rStyle w:val="Textoennegrita"/>
          <w:rFonts w:ascii="Arial" w:hAnsi="Arial" w:cs="Arial"/>
          <w:sz w:val="20"/>
        </w:rPr>
        <w:t>International Organization for Standardization.</w:t>
      </w:r>
      <w:r w:rsidRPr="004C5FFC">
        <w:rPr>
          <w:rFonts w:ascii="Arial" w:hAnsi="Arial" w:cs="Arial"/>
          <w:sz w:val="20"/>
        </w:rPr>
        <w:t xml:space="preserve"> (2022b). </w:t>
      </w:r>
      <w:r w:rsidRPr="004C5FFC">
        <w:rPr>
          <w:rStyle w:val="nfasis"/>
          <w:rFonts w:ascii="Arial" w:hAnsi="Arial" w:cs="Arial"/>
          <w:sz w:val="20"/>
        </w:rPr>
        <w:t>ISO/IEC 27002:2022. Information security, cybersecurity and privacy protection — Information security controls</w:t>
      </w:r>
      <w:r w:rsidRPr="004C5FFC">
        <w:rPr>
          <w:rFonts w:ascii="Arial" w:hAnsi="Arial" w:cs="Arial"/>
          <w:sz w:val="20"/>
        </w:rPr>
        <w:t xml:space="preserve">. </w:t>
      </w:r>
      <w:hyperlink r:id="rId10" w:tgtFrame="_blank" w:history="1">
        <w:r w:rsidRPr="004C5FFC">
          <w:rPr>
            <w:rStyle w:val="Hipervnculo"/>
            <w:rFonts w:ascii="Arial" w:hAnsi="Arial" w:cs="Arial"/>
            <w:color w:val="auto"/>
            <w:sz w:val="20"/>
            <w:lang w:val="es-ES"/>
          </w:rPr>
          <w:t>https://www.iso.org/standard/75652.html</w:t>
        </w:r>
      </w:hyperlink>
    </w:p>
    <w:p w:rsidR="004C5FFC" w:rsidRPr="004C5FFC" w:rsidRDefault="004C5FFC" w:rsidP="004C5FFC">
      <w:pPr>
        <w:pStyle w:val="NormalWeb"/>
        <w:spacing w:line="360" w:lineRule="auto"/>
        <w:rPr>
          <w:rFonts w:ascii="Arial" w:hAnsi="Arial" w:cs="Arial"/>
          <w:sz w:val="20"/>
        </w:rPr>
      </w:pPr>
      <w:r w:rsidRPr="004C5FFC">
        <w:rPr>
          <w:rStyle w:val="Textoennegrita"/>
          <w:rFonts w:ascii="Arial" w:hAnsi="Arial" w:cs="Arial"/>
          <w:sz w:val="20"/>
          <w:lang w:val="es-ES"/>
        </w:rPr>
        <w:t>Oracle.</w:t>
      </w:r>
      <w:r w:rsidRPr="004C5FFC">
        <w:rPr>
          <w:rFonts w:ascii="Arial" w:hAnsi="Arial" w:cs="Arial"/>
          <w:sz w:val="20"/>
          <w:lang w:val="es-ES"/>
        </w:rPr>
        <w:t xml:space="preserve"> (s. f.). </w:t>
      </w:r>
      <w:r w:rsidRPr="004C5FFC">
        <w:rPr>
          <w:rStyle w:val="nfasis"/>
          <w:rFonts w:ascii="Arial" w:hAnsi="Arial" w:cs="Arial"/>
          <w:sz w:val="20"/>
          <w:lang w:val="es-ES"/>
        </w:rPr>
        <w:t>Oracle Database Security Guide</w:t>
      </w:r>
      <w:r w:rsidRPr="004C5FFC">
        <w:rPr>
          <w:rFonts w:ascii="Arial" w:hAnsi="Arial" w:cs="Arial"/>
          <w:sz w:val="20"/>
          <w:lang w:val="es-ES"/>
        </w:rPr>
        <w:t xml:space="preserve"> (versiones 19c / 21c / 23ai). Documentación oficial de Oracle. </w:t>
      </w:r>
      <w:hyperlink r:id="rId11" w:tgtFrame="_blank" w:history="1">
        <w:r w:rsidRPr="004C5FFC">
          <w:rPr>
            <w:rStyle w:val="Hipervnculo"/>
            <w:rFonts w:ascii="Arial" w:hAnsi="Arial" w:cs="Arial"/>
            <w:color w:val="auto"/>
            <w:sz w:val="20"/>
          </w:rPr>
          <w:t>https://docs.oracle.com/en/database/oracle/oracle-database/19/dbseg/</w:t>
        </w:r>
      </w:hyperlink>
    </w:p>
    <w:p w:rsidR="004C5FFC" w:rsidRPr="004C5FFC" w:rsidRDefault="004C5FFC" w:rsidP="004C5FFC">
      <w:pPr>
        <w:pStyle w:val="NormalWeb"/>
        <w:spacing w:line="360" w:lineRule="auto"/>
        <w:rPr>
          <w:rFonts w:ascii="Arial" w:hAnsi="Arial" w:cs="Arial"/>
          <w:sz w:val="20"/>
        </w:rPr>
      </w:pPr>
      <w:r w:rsidRPr="004C5FFC">
        <w:rPr>
          <w:rStyle w:val="Textoennegrita"/>
          <w:rFonts w:ascii="Arial" w:hAnsi="Arial" w:cs="Arial"/>
          <w:sz w:val="20"/>
          <w:lang w:val="es-ES"/>
        </w:rPr>
        <w:t>Oracle.</w:t>
      </w:r>
      <w:r w:rsidRPr="004C5FFC">
        <w:rPr>
          <w:rFonts w:ascii="Arial" w:hAnsi="Arial" w:cs="Arial"/>
          <w:sz w:val="20"/>
          <w:lang w:val="es-ES"/>
        </w:rPr>
        <w:t xml:space="preserve"> (s. f.). </w:t>
      </w:r>
      <w:r w:rsidRPr="004C5FFC">
        <w:rPr>
          <w:rStyle w:val="nfasis"/>
          <w:rFonts w:ascii="Arial" w:hAnsi="Arial" w:cs="Arial"/>
          <w:sz w:val="20"/>
          <w:lang w:val="es-ES"/>
        </w:rPr>
        <w:t>Oracle Database Administrator’s Guide</w:t>
      </w:r>
      <w:r w:rsidRPr="004C5FFC">
        <w:rPr>
          <w:rFonts w:ascii="Arial" w:hAnsi="Arial" w:cs="Arial"/>
          <w:sz w:val="20"/>
          <w:lang w:val="es-ES"/>
        </w:rPr>
        <w:t xml:space="preserve"> (versiones 19c / 21c). Documentación oficial de Oracle. </w:t>
      </w:r>
      <w:hyperlink r:id="rId12" w:tgtFrame="_blank" w:history="1">
        <w:r w:rsidRPr="004C5FFC">
          <w:rPr>
            <w:rStyle w:val="Hipervnculo"/>
            <w:rFonts w:ascii="Arial" w:hAnsi="Arial" w:cs="Arial"/>
            <w:color w:val="auto"/>
            <w:sz w:val="20"/>
          </w:rPr>
          <w:t>https://docs.oracle.com/en/database/oracle/oracle-database/19/admin/</w:t>
        </w:r>
      </w:hyperlink>
    </w:p>
    <w:p w:rsidR="004C5FFC" w:rsidRPr="004C5FFC" w:rsidRDefault="004C5FFC" w:rsidP="004C5FFC">
      <w:pPr>
        <w:pStyle w:val="NormalWeb"/>
        <w:spacing w:line="360" w:lineRule="auto"/>
        <w:rPr>
          <w:rFonts w:ascii="Arial" w:hAnsi="Arial" w:cs="Arial"/>
          <w:sz w:val="20"/>
        </w:rPr>
      </w:pPr>
      <w:r w:rsidRPr="004C5FFC">
        <w:rPr>
          <w:rStyle w:val="Textoennegrita"/>
          <w:rFonts w:ascii="Arial" w:hAnsi="Arial" w:cs="Arial"/>
          <w:sz w:val="20"/>
          <w:lang w:val="es-ES"/>
        </w:rPr>
        <w:t>Poder Ejecutivo de Costa Rica.</w:t>
      </w:r>
      <w:r w:rsidRPr="004C5FFC">
        <w:rPr>
          <w:rFonts w:ascii="Arial" w:hAnsi="Arial" w:cs="Arial"/>
          <w:sz w:val="20"/>
          <w:lang w:val="es-ES"/>
        </w:rPr>
        <w:t xml:space="preserve"> (2012). </w:t>
      </w:r>
      <w:r w:rsidRPr="004C5FFC">
        <w:rPr>
          <w:rStyle w:val="nfasis"/>
          <w:rFonts w:ascii="Arial" w:hAnsi="Arial" w:cs="Arial"/>
          <w:sz w:val="20"/>
          <w:lang w:val="es-ES"/>
        </w:rPr>
        <w:t>Decreto Ejecutivo N.º 37554-JP. Reglamento a la Ley de Protección de la Persona frente al Tratamiento de sus Datos Personales</w:t>
      </w:r>
      <w:r w:rsidRPr="004C5FFC">
        <w:rPr>
          <w:rFonts w:ascii="Arial" w:hAnsi="Arial" w:cs="Arial"/>
          <w:sz w:val="20"/>
          <w:lang w:val="es-ES"/>
        </w:rPr>
        <w:t xml:space="preserve">. </w:t>
      </w:r>
      <w:hyperlink r:id="rId13" w:tgtFrame="_blank" w:history="1">
        <w:r w:rsidRPr="004C5FFC">
          <w:rPr>
            <w:rStyle w:val="Hipervnculo"/>
            <w:rFonts w:ascii="Arial" w:hAnsi="Arial" w:cs="Arial"/>
            <w:color w:val="auto"/>
            <w:sz w:val="20"/>
          </w:rPr>
          <w:t>http://www.pgrweb.go.cr/scij/Busqueda/Normativa/Normas/nrm_texto_completo.aspx?param1=NRTC&amp;nValor1=1&amp;nValor2=74352</w:t>
        </w:r>
      </w:hyperlink>
    </w:p>
    <w:p w:rsidR="00BD3319" w:rsidRPr="004C5FFC" w:rsidRDefault="00BD3319" w:rsidP="004C5FFC">
      <w:pPr>
        <w:spacing w:after="60" w:line="360" w:lineRule="auto"/>
        <w:rPr>
          <w:sz w:val="12"/>
        </w:rPr>
      </w:pPr>
    </w:p>
    <w:sectPr w:rsidR="00BD3319" w:rsidRPr="004C5FFC">
      <w:headerReference w:type="default" r:id="rId14"/>
      <w:footerReference w:type="default" r:id="rId15"/>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38D7" w:rsidRDefault="005938D7">
      <w:r>
        <w:separator/>
      </w:r>
    </w:p>
  </w:endnote>
  <w:endnote w:type="continuationSeparator" w:id="0">
    <w:p w:rsidR="005938D7" w:rsidRDefault="0059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CC3" w:rsidRPr="00407CC3" w:rsidRDefault="00407CC3">
    <w:pPr>
      <w:jc w:val="center"/>
      <w:rPr>
        <w:lang w:val="es-ES"/>
      </w:rPr>
    </w:pPr>
    <w:r w:rsidRPr="00407CC3">
      <w:rPr>
        <w:color w:val="5B6C78"/>
        <w:sz w:val="14"/>
        <w:szCs w:val="14"/>
        <w:lang w:val="es-ES"/>
      </w:rPr>
      <w:t xml:space="preserve">Universidad Nacional de Costa Rica · Escuela de Informática  |  Página </w:t>
    </w:r>
    <w:r>
      <w:rPr>
        <w:color w:val="5B6C78"/>
        <w:sz w:val="14"/>
        <w:szCs w:val="14"/>
      </w:rPr>
      <w:fldChar w:fldCharType="begin"/>
    </w:r>
    <w:r w:rsidRPr="00407CC3">
      <w:rPr>
        <w:color w:val="5B6C78"/>
        <w:sz w:val="14"/>
        <w:szCs w:val="14"/>
        <w:lang w:val="es-ES"/>
      </w:rPr>
      <w:instrText>PAGE</w:instrText>
    </w:r>
    <w:r>
      <w:rPr>
        <w:color w:val="5B6C78"/>
        <w:sz w:val="14"/>
        <w:szCs w:val="14"/>
      </w:rPr>
      <w:fldChar w:fldCharType="separate"/>
    </w:r>
    <w:r w:rsidR="005938D7">
      <w:rPr>
        <w:noProof/>
        <w:color w:val="5B6C78"/>
        <w:sz w:val="14"/>
        <w:szCs w:val="14"/>
        <w:lang w:val="es-ES"/>
      </w:rPr>
      <w:t>1</w:t>
    </w:r>
    <w:r>
      <w:rPr>
        <w:color w:val="5B6C78"/>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38D7" w:rsidRDefault="005938D7">
      <w:r>
        <w:separator/>
      </w:r>
    </w:p>
  </w:footnote>
  <w:footnote w:type="continuationSeparator" w:id="0">
    <w:p w:rsidR="005938D7" w:rsidRDefault="005938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CC3" w:rsidRPr="00407CC3" w:rsidRDefault="00407CC3">
    <w:pPr>
      <w:rPr>
        <w:lang w:val="es-ES"/>
      </w:rPr>
    </w:pPr>
    <w:r w:rsidRPr="00407CC3">
      <w:rPr>
        <w:color w:val="5B6C78"/>
        <w:sz w:val="15"/>
        <w:szCs w:val="15"/>
        <w:lang w:val="es-ES"/>
      </w:rPr>
      <w:t>ConfiDBA Studio · Controles ISO 27001:2022 · Confidencialidad en DBA · II Ciclo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62823"/>
    <w:multiLevelType w:val="hybridMultilevel"/>
    <w:tmpl w:val="EC5AB708"/>
    <w:lvl w:ilvl="0" w:tplc="274E31C0">
      <w:start w:val="1"/>
      <w:numFmt w:val="bullet"/>
      <w:lvlText w:val="●"/>
      <w:lvlJc w:val="left"/>
      <w:pPr>
        <w:ind w:left="720" w:hanging="360"/>
      </w:pPr>
    </w:lvl>
    <w:lvl w:ilvl="1" w:tplc="22045118">
      <w:start w:val="1"/>
      <w:numFmt w:val="bullet"/>
      <w:lvlText w:val="○"/>
      <w:lvlJc w:val="left"/>
      <w:pPr>
        <w:ind w:left="1440" w:hanging="360"/>
      </w:pPr>
    </w:lvl>
    <w:lvl w:ilvl="2" w:tplc="70AA890A">
      <w:start w:val="1"/>
      <w:numFmt w:val="bullet"/>
      <w:lvlText w:val="■"/>
      <w:lvlJc w:val="left"/>
      <w:pPr>
        <w:ind w:left="2160" w:hanging="360"/>
      </w:pPr>
    </w:lvl>
    <w:lvl w:ilvl="3" w:tplc="A53EC2F6">
      <w:start w:val="1"/>
      <w:numFmt w:val="bullet"/>
      <w:lvlText w:val="●"/>
      <w:lvlJc w:val="left"/>
      <w:pPr>
        <w:ind w:left="2880" w:hanging="360"/>
      </w:pPr>
    </w:lvl>
    <w:lvl w:ilvl="4" w:tplc="D1F095D2">
      <w:start w:val="1"/>
      <w:numFmt w:val="bullet"/>
      <w:lvlText w:val="○"/>
      <w:lvlJc w:val="left"/>
      <w:pPr>
        <w:ind w:left="3600" w:hanging="360"/>
      </w:pPr>
    </w:lvl>
    <w:lvl w:ilvl="5" w:tplc="2C4A7F74">
      <w:start w:val="1"/>
      <w:numFmt w:val="bullet"/>
      <w:lvlText w:val="■"/>
      <w:lvlJc w:val="left"/>
      <w:pPr>
        <w:ind w:left="4320" w:hanging="360"/>
      </w:pPr>
    </w:lvl>
    <w:lvl w:ilvl="6" w:tplc="210E9D5C">
      <w:start w:val="1"/>
      <w:numFmt w:val="bullet"/>
      <w:lvlText w:val="●"/>
      <w:lvlJc w:val="left"/>
      <w:pPr>
        <w:ind w:left="5040" w:hanging="360"/>
      </w:pPr>
    </w:lvl>
    <w:lvl w:ilvl="7" w:tplc="5E205F06">
      <w:start w:val="1"/>
      <w:numFmt w:val="bullet"/>
      <w:lvlText w:val="●"/>
      <w:lvlJc w:val="left"/>
      <w:pPr>
        <w:ind w:left="5760" w:hanging="360"/>
      </w:pPr>
    </w:lvl>
    <w:lvl w:ilvl="8" w:tplc="E36AF7F4">
      <w:start w:val="1"/>
      <w:numFmt w:val="bullet"/>
      <w:lvlText w:val="●"/>
      <w:lvlJc w:val="left"/>
      <w:pPr>
        <w:ind w:left="6480" w:hanging="360"/>
      </w:pPr>
    </w:lvl>
  </w:abstractNum>
  <w:abstractNum w:abstractNumId="1" w15:restartNumberingAfterBreak="0">
    <w:nsid w:val="083B72D1"/>
    <w:multiLevelType w:val="hybridMultilevel"/>
    <w:tmpl w:val="23C81E54"/>
    <w:lvl w:ilvl="0" w:tplc="D9506CAE">
      <w:start w:val="1"/>
      <w:numFmt w:val="bullet"/>
      <w:lvlText w:val="•"/>
      <w:lvlJc w:val="left"/>
      <w:pPr>
        <w:ind w:left="420" w:hanging="280"/>
      </w:pPr>
    </w:lvl>
    <w:lvl w:ilvl="1" w:tplc="B504E790">
      <w:numFmt w:val="decimal"/>
      <w:lvlText w:val=""/>
      <w:lvlJc w:val="left"/>
    </w:lvl>
    <w:lvl w:ilvl="2" w:tplc="26CE31BE">
      <w:numFmt w:val="decimal"/>
      <w:lvlText w:val=""/>
      <w:lvlJc w:val="left"/>
    </w:lvl>
    <w:lvl w:ilvl="3" w:tplc="8EDE6354">
      <w:numFmt w:val="decimal"/>
      <w:lvlText w:val=""/>
      <w:lvlJc w:val="left"/>
    </w:lvl>
    <w:lvl w:ilvl="4" w:tplc="FAA6504E">
      <w:numFmt w:val="decimal"/>
      <w:lvlText w:val=""/>
      <w:lvlJc w:val="left"/>
    </w:lvl>
    <w:lvl w:ilvl="5" w:tplc="2F2C2062">
      <w:numFmt w:val="decimal"/>
      <w:lvlText w:val=""/>
      <w:lvlJc w:val="left"/>
    </w:lvl>
    <w:lvl w:ilvl="6" w:tplc="D340E5D4">
      <w:numFmt w:val="decimal"/>
      <w:lvlText w:val=""/>
      <w:lvlJc w:val="left"/>
    </w:lvl>
    <w:lvl w:ilvl="7" w:tplc="A55E97A4">
      <w:numFmt w:val="decimal"/>
      <w:lvlText w:val=""/>
      <w:lvlJc w:val="left"/>
    </w:lvl>
    <w:lvl w:ilvl="8" w:tplc="D5304F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319"/>
    <w:rsid w:val="00407CC3"/>
    <w:rsid w:val="004C5FFC"/>
    <w:rsid w:val="005938D7"/>
    <w:rsid w:val="00BD3319"/>
    <w:rsid w:val="00BD3CB6"/>
    <w:rsid w:val="00DC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A7A3"/>
  <w15:docId w15:val="{386ACE6D-C6FB-481E-8891-180D7070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pPr>
      <w:spacing w:before="260" w:after="120"/>
      <w:outlineLvl w:val="0"/>
    </w:pPr>
    <w:rPr>
      <w:b/>
      <w:bCs/>
      <w:color w:val="0E7C86"/>
      <w:sz w:val="26"/>
      <w:szCs w:val="26"/>
    </w:rPr>
  </w:style>
  <w:style w:type="paragraph" w:styleId="Ttulo2">
    <w:name w:val="heading 2"/>
    <w:pPr>
      <w:spacing w:before="200" w:after="90"/>
      <w:outlineLvl w:val="1"/>
    </w:pPr>
    <w:rPr>
      <w:b/>
      <w:bCs/>
      <w:color w:val="0A5A63"/>
      <w:sz w:val="22"/>
      <w:szCs w:val="22"/>
    </w:rPr>
  </w:style>
  <w:style w:type="paragraph" w:styleId="Ttulo3">
    <w:name w:val="heading 3"/>
    <w:pPr>
      <w:spacing w:before="140" w:after="70"/>
      <w:outlineLvl w:val="2"/>
    </w:pPr>
    <w:rPr>
      <w:b/>
      <w:bCs/>
      <w:color w:val="10202C"/>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4C5FFC"/>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C5FFC"/>
    <w:rPr>
      <w:b/>
      <w:bCs/>
    </w:rPr>
  </w:style>
  <w:style w:type="character" w:styleId="nfasis">
    <w:name w:val="Emphasis"/>
    <w:basedOn w:val="Fuentedeprrafopredeter"/>
    <w:uiPriority w:val="20"/>
    <w:qFormat/>
    <w:rsid w:val="004C5F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511912">
      <w:bodyDiv w:val="1"/>
      <w:marLeft w:val="0"/>
      <w:marRight w:val="0"/>
      <w:marTop w:val="0"/>
      <w:marBottom w:val="0"/>
      <w:divBdr>
        <w:top w:val="none" w:sz="0" w:space="0" w:color="auto"/>
        <w:left w:val="none" w:sz="0" w:space="0" w:color="auto"/>
        <w:bottom w:val="none" w:sz="0" w:space="0" w:color="auto"/>
        <w:right w:val="none" w:sz="0" w:space="0" w:color="auto"/>
      </w:divBdr>
    </w:div>
    <w:div w:id="1247763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grweb.go.cr/scij/Busqueda/Normativa/Normas/nrm_texto_completo.aspx?param1=NRTC&amp;nValor1=1&amp;nValor2=70975" TargetMode="External"/><Relationship Id="rId13" Type="http://schemas.openxmlformats.org/officeDocument/2006/relationships/hyperlink" Target="http://www.pgrweb.go.cr/scij/Busqueda/Normativa/Normas/nrm_texto_completo.aspx?param1=NRTC&amp;nValor1=1&amp;nValor2=74352"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oracle.com/en/database/oracle/oracle-database/19/adm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database/oracle/oracle-database/19/dbse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so.org/standard/75652.html" TargetMode="External"/><Relationship Id="rId4" Type="http://schemas.openxmlformats.org/officeDocument/2006/relationships/webSettings" Target="webSettings.xml"/><Relationship Id="rId9" Type="http://schemas.openxmlformats.org/officeDocument/2006/relationships/hyperlink" Target="https://www.iso.org/standard/27001.html"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3327</Words>
  <Characters>18968</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LISETH VALLEJOS GONZALES</cp:lastModifiedBy>
  <cp:revision>2</cp:revision>
  <dcterms:created xsi:type="dcterms:W3CDTF">2026-10-27T23:31:00Z</dcterms:created>
  <dcterms:modified xsi:type="dcterms:W3CDTF">2026-10-27T23:31:00Z</dcterms:modified>
</cp:coreProperties>
</file>