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2381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905000"/>
                    </a:xfrm>
                    <a:prstGeom prst="rect">
                      <a:avLst/>
                    </a:prstGeom>
                  </pic:spPr>
                </pic:pic>
              </a:graphicData>
            </a:graphic>
          </wp:inline>
        </w:drawing>
      </w:r>
    </w:p>
    <w:p>
      <w:pPr>
        <w:spacing w:after="400"/>
      </w:pPr>
    </w:p>
    <w:p>
      <w:pPr>
        <w:spacing w:after="200"/>
        <w:jc w:val="center"/>
      </w:pPr>
      <w:r>
        <w:rPr>
          <w:rFonts w:ascii="Arial" w:cs="Arial" w:eastAsia="Arial" w:hAnsi="Arial"/>
          <w:b/>
          <w:bCs/>
          <w:color w:val="14532D"/>
          <w:sz w:val="36"/>
          <w:szCs w:val="36"/>
        </w:rPr>
        <w:t xml:space="preserve">MODELO ENTIDAD-RELACIÓN</w:t>
      </w:r>
    </w:p>
    <w:p>
      <w:pPr>
        <w:spacing w:after="900"/>
        <w:jc w:val="center"/>
      </w:pPr>
      <w:r>
        <w:rPr>
          <w:rFonts w:ascii="Arial" w:cs="Arial" w:eastAsia="Arial" w:hAnsi="Arial"/>
          <w:color w:val="0F766E"/>
          <w:sz w:val="26"/>
          <w:szCs w:val="26"/>
        </w:rPr>
        <w:t xml:space="preserve">Diseño conceptual y lógico de la base de datos</w:t>
      </w:r>
    </w:p>
    <w:p>
      <w:pPr>
        <w:spacing w:after="120"/>
        <w:jc w:val="center"/>
      </w:pPr>
      <w:r>
        <w:rPr>
          <w:rFonts w:ascii="Arial" w:cs="Arial" w:eastAsia="Arial" w:hAnsi="Arial"/>
          <w:sz w:val="22"/>
          <w:szCs w:val="22"/>
        </w:rPr>
        <w:t xml:space="preserve">Proyecto: EcoRuta — Aplicación web progresiva (PWA) de horarios de recolección de residuos</w:t>
      </w:r>
    </w:p>
    <w:p>
      <w:pPr>
        <w:spacing w:after="700"/>
        <w:jc w:val="center"/>
      </w:pPr>
      <w:r>
        <w:rPr>
          <w:rFonts w:ascii="Arial" w:cs="Arial" w:eastAsia="Arial" w:hAnsi="Arial"/>
          <w:color w:val="475569"/>
          <w:sz w:val="22"/>
          <w:szCs w:val="22"/>
        </w:rPr>
        <w:t xml:space="preserve">Stack: React + Tailwind CSS · Node.js + Express · MySQL en Clever Cloud</w:t>
      </w:r>
    </w:p>
    <w:p>
      <w:pPr>
        <w:spacing w:after="120"/>
        <w:jc w:val="center"/>
      </w:pPr>
      <w:r>
        <w:rPr>
          <w:rFonts w:ascii="Arial" w:cs="Arial" w:eastAsia="Arial" w:hAnsi="Arial"/>
          <w:b/>
          <w:bCs/>
          <w:sz w:val="22"/>
          <w:szCs w:val="22"/>
        </w:rPr>
        <w:t xml:space="preserve">Elaborado por:</w:t>
      </w:r>
    </w:p>
    <w:p>
      <w:pPr>
        <w:spacing w:after="120"/>
        <w:jc w:val="center"/>
      </w:pPr>
      <w:r>
        <w:rPr>
          <w:rFonts w:ascii="Arial" w:cs="Arial" w:eastAsia="Arial" w:hAnsi="Arial"/>
          <w:sz w:val="22"/>
          <w:szCs w:val="22"/>
        </w:rPr>
        <w:t xml:space="preserve">Liseth Arelis Giraldo Morales</w:t>
      </w:r>
    </w:p>
    <w:p>
      <w:pPr>
        <w:spacing w:after="120"/>
        <w:jc w:val="center"/>
      </w:pPr>
      <w:r>
        <w:rPr>
          <w:rFonts w:ascii="Arial" w:cs="Arial" w:eastAsia="Arial" w:hAnsi="Arial"/>
          <w:color w:val="475569"/>
          <w:sz w:val="22"/>
          <w:szCs w:val="22"/>
        </w:rPr>
        <w:t xml:space="preserve">Tecnóloga en Análisis y Desarrollo de Software</w:t>
      </w:r>
    </w:p>
    <w:p>
      <w:pPr>
        <w:spacing w:after="500"/>
        <w:jc w:val="center"/>
      </w:pPr>
      <w:r>
        <w:rPr>
          <w:rFonts w:ascii="Arial" w:cs="Arial" w:eastAsia="Arial" w:hAnsi="Arial"/>
          <w:color w:val="475569"/>
          <w:sz w:val="22"/>
          <w:szCs w:val="22"/>
        </w:rPr>
        <w:t xml:space="preserve">Estudiante de Ingeniería de Sistemas — UNIMINUTO</w:t>
      </w:r>
    </w:p>
    <w:p>
      <w:pPr>
        <w:spacing w:after="120"/>
        <w:jc w:val="center"/>
      </w:pPr>
      <w:r>
        <w:rPr>
          <w:rFonts w:ascii="Arial" w:cs="Arial" w:eastAsia="Arial" w:hAnsi="Arial"/>
          <w:sz w:val="22"/>
          <w:szCs w:val="22"/>
        </w:rPr>
        <w:t xml:space="preserve">Rionegro, Antioquia</w:t>
      </w:r>
    </w:p>
    <w:p>
      <w:pPr>
        <w:spacing w:after="120"/>
        <w:jc w:val="center"/>
      </w:pPr>
      <w:r>
        <w:rPr>
          <w:rFonts w:ascii="Arial" w:cs="Arial" w:eastAsia="Arial" w:hAnsi="Arial"/>
          <w:sz w:val="22"/>
          <w:szCs w:val="22"/>
        </w:rPr>
        <w:t xml:space="preserve">Octubre de 2026</w:t>
      </w:r>
    </w:p>
    <w:p>
      <w:r>
        <w:br w:type="page"/>
      </w:r>
    </w:p>
    <w:p>
      <w:pPr>
        <w:pStyle w:val="Heading1"/>
      </w:pPr>
      <w:r>
        <w:t xml:space="preserve">Control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7"/>
        <w:gridCol w:w="1413"/>
        <w:gridCol w:w="2174"/>
        <w:gridCol w:w="4352"/>
      </w:tblGrid>
      <w:tr>
        <w:trPr>
          <w:tblHeader/>
        </w:trPr>
        <w:tc>
          <w:tcPr>
            <w:tcW w:type="dxa" w:w="1087"/>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Versión</w:t>
            </w:r>
          </w:p>
        </w:tc>
        <w:tc>
          <w:tcPr>
            <w:tcW w:type="dxa" w:w="141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Fecha</w:t>
            </w:r>
          </w:p>
        </w:tc>
        <w:tc>
          <w:tcPr>
            <w:tcW w:type="dxa" w:w="217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Autora</w:t>
            </w:r>
          </w:p>
        </w:tc>
        <w:tc>
          <w:tcPr>
            <w:tcW w:type="dxa" w:w="435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 del cambio</w:t>
            </w:r>
          </w:p>
        </w:tc>
      </w:tr>
      <w:tr>
        <w:trPr>
          <w:cantSplit/>
        </w:trPr>
        <w:tc>
          <w:tcPr>
            <w:tcW w:type="dxa" w:w="108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1.0</w:t>
            </w:r>
          </w:p>
        </w:tc>
        <w:tc>
          <w:tcPr>
            <w:tcW w:type="dxa" w:w="141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01/10/2026</w:t>
            </w:r>
          </w:p>
        </w:tc>
        <w:tc>
          <w:tcPr>
            <w:tcW w:type="dxa" w:w="217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Liseth A. Giraldo M.</w:t>
            </w:r>
          </w:p>
        </w:tc>
        <w:tc>
          <w:tcPr>
            <w:tcW w:type="dxa" w:w="435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Versión inicial del documento</w:t>
            </w:r>
          </w:p>
        </w:tc>
      </w:tr>
    </w:tbl>
    <w:p>
      <w:pPr>
        <w:spacing w:after="240"/>
      </w:pP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line="300"/>
        <w:jc w:val="both"/>
      </w:pPr>
      <w:r>
        <w:rPr>
          <w:rFonts w:ascii="Arial" w:cs="Arial" w:eastAsia="Arial" w:hAnsi="Arial"/>
          <w:sz w:val="22"/>
          <w:szCs w:val="22"/>
        </w:rPr>
        <w:t xml:space="preserve">El presente documento describe el modelo de datos de </w:t>
      </w:r>
      <w:r>
        <w:rPr>
          <w:rFonts w:ascii="Arial" w:cs="Arial" w:eastAsia="Arial" w:hAnsi="Arial"/>
          <w:b/>
          <w:bCs/>
          <w:sz w:val="22"/>
          <w:szCs w:val="22"/>
        </w:rPr>
        <w:t xml:space="preserve">EcoRuta</w:t>
      </w:r>
      <w:r>
        <w:rPr>
          <w:rFonts w:ascii="Arial" w:cs="Arial" w:eastAsia="Arial" w:hAnsi="Arial"/>
          <w:sz w:val="22"/>
          <w:szCs w:val="22"/>
        </w:rPr>
        <w:t xml:space="preserve">, la PWA de horarios de recolección de residuos. Se presentan el diagrama entidad-relación en notación pata de gallo, la descripción de las entidades y sus relaciones, el diccionario de datos y la justificación de la normalización aplicada.</w:t>
      </w:r>
    </w:p>
    <w:p>
      <w:pPr>
        <w:spacing w:after="160" w:line="300"/>
        <w:jc w:val="both"/>
      </w:pPr>
      <w:r>
        <w:rPr>
          <w:rFonts w:ascii="Arial" w:cs="Arial" w:eastAsia="Arial" w:hAnsi="Arial"/>
          <w:sz w:val="22"/>
          <w:szCs w:val="22"/>
        </w:rPr>
        <w:t xml:space="preserve">El modelo entidad-relación, propuesto por Chen (1976), representa la realidad mediante entidades, atributos y relaciones, y constituye el puente entre los requerimientos del negocio y la implementación física en un sistema gestor de bases de datos relacional (Elmasri y Navathe, 2016). En este proyecto, el modelo se implementa en </w:t>
      </w:r>
      <w:r>
        <w:rPr>
          <w:rFonts w:ascii="Arial" w:cs="Arial" w:eastAsia="Arial" w:hAnsi="Arial"/>
          <w:b/>
          <w:bCs/>
          <w:sz w:val="22"/>
          <w:szCs w:val="22"/>
        </w:rPr>
        <w:t xml:space="preserve">MySQL 8.0</w:t>
      </w:r>
      <w:r>
        <w:rPr>
          <w:rFonts w:ascii="Arial" w:cs="Arial" w:eastAsia="Arial" w:hAnsi="Arial"/>
          <w:sz w:val="22"/>
          <w:szCs w:val="22"/>
        </w:rPr>
        <w:t xml:space="preserve"> alojado como add-on de </w:t>
      </w:r>
      <w:r>
        <w:rPr>
          <w:rFonts w:ascii="Arial" w:cs="Arial" w:eastAsia="Arial" w:hAnsi="Arial"/>
          <w:b/>
          <w:bCs/>
          <w:sz w:val="22"/>
          <w:szCs w:val="22"/>
        </w:rPr>
        <w:t xml:space="preserve">Clever Cloud</w:t>
      </w:r>
      <w:r>
        <w:rPr>
          <w:rFonts w:ascii="Arial" w:cs="Arial" w:eastAsia="Arial" w:hAnsi="Arial"/>
          <w:sz w:val="22"/>
          <w:szCs w:val="22"/>
        </w:rPr>
        <w:t xml:space="preserve">, con motor InnoDB para garantizar la integridad referencial y las transacciones.</w:t>
      </w:r>
    </w:p>
    <w:p>
      <w:pPr>
        <w:pStyle w:val="Heading2"/>
      </w:pPr>
      <w:r>
        <w:t xml:space="preserve">1.1 Objetivos del modelo</w:t>
      </w:r>
    </w:p>
    <w:p>
      <w:pPr>
        <w:pStyle w:val="ListParagraph"/>
        <w:numPr>
          <w:ilvl w:val="0"/>
          <w:numId w:val="2"/>
        </w:numPr>
        <w:spacing w:after="80" w:line="280"/>
      </w:pPr>
      <w:r>
        <w:rPr>
          <w:rFonts w:ascii="Arial" w:cs="Arial" w:eastAsia="Arial" w:hAnsi="Arial"/>
          <w:sz w:val="22"/>
          <w:szCs w:val="22"/>
        </w:rPr>
        <w:t xml:space="preserve">Representar el territorio (zonas y barrios), la operación (rutas, vehículos, horarios y tipos de residuo) y la interacción con el ciudadano (ubicaciones, notificaciones, novedades y reportes).</w:t>
      </w:r>
    </w:p>
    <w:p>
      <w:pPr>
        <w:pStyle w:val="ListParagraph"/>
        <w:numPr>
          <w:ilvl w:val="0"/>
          <w:numId w:val="2"/>
        </w:numPr>
        <w:spacing w:after="80" w:line="280"/>
      </w:pPr>
      <w:r>
        <w:rPr>
          <w:rFonts w:ascii="Arial" w:cs="Arial" w:eastAsia="Arial" w:hAnsi="Arial"/>
          <w:sz w:val="22"/>
          <w:szCs w:val="22"/>
        </w:rPr>
        <w:t xml:space="preserve">Permitir calcular la hora estimada de paso del camión por cada barrio a partir del orden del recorrido.</w:t>
      </w:r>
    </w:p>
    <w:p>
      <w:pPr>
        <w:pStyle w:val="ListParagraph"/>
        <w:numPr>
          <w:ilvl w:val="0"/>
          <w:numId w:val="2"/>
        </w:numPr>
        <w:spacing w:after="80" w:line="280"/>
      </w:pPr>
      <w:r>
        <w:rPr>
          <w:rFonts w:ascii="Arial" w:cs="Arial" w:eastAsia="Arial" w:hAnsi="Arial"/>
          <w:sz w:val="22"/>
          <w:szCs w:val="22"/>
        </w:rPr>
        <w:t xml:space="preserve">Garantizar integridad, ausencia de redundancia y facilidad de consulta mediante la tercera forma normal.</w:t>
      </w:r>
    </w:p>
    <w:p>
      <w:pPr>
        <w:pStyle w:val="Heading1"/>
      </w:pPr>
      <w:r>
        <w:t xml:space="preserve">2. Notación utilizada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5"/>
        <w:gridCol w:w="7021"/>
      </w:tblGrid>
      <w:tr>
        <w:trPr>
          <w:tblHeader/>
        </w:trPr>
        <w:tc>
          <w:tcPr>
            <w:tcW w:type="dxa" w:w="20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Símbolo</w:t>
            </w:r>
          </w:p>
        </w:tc>
        <w:tc>
          <w:tcPr>
            <w:tcW w:type="dxa" w:w="702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Significado</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Uno y solo uno (obligatorio)</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Cero o uno (opcional)</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⊢&lt;</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Uno o muchos</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○&lt;</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Cero o muchos</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PK</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Llave primaria</w:t>
            </w:r>
          </w:p>
        </w:tc>
      </w:tr>
      <w:tr>
        <w:trPr>
          <w:cantSplit/>
        </w:trPr>
        <w:tc>
          <w:tcPr>
            <w:tcW w:type="dxa" w:w="20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FK</w:t>
            </w:r>
          </w:p>
        </w:tc>
        <w:tc>
          <w:tcPr>
            <w:tcW w:type="dxa" w:w="702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Llave foránea</w:t>
            </w:r>
          </w:p>
        </w:tc>
      </w:tr>
      <w:tr>
        <w:trPr>
          <w:cantSplit/>
        </w:trPr>
        <w:tc>
          <w:tcPr>
            <w:tcW w:type="dxa" w:w="20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UQ</w:t>
            </w:r>
          </w:p>
        </w:tc>
        <w:tc>
          <w:tcPr>
            <w:tcW w:type="dxa" w:w="702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Restricción de unicidad</w:t>
            </w:r>
          </w:p>
        </w:tc>
      </w:tr>
    </w:tbl>
    <w:p>
      <w:pPr>
        <w:spacing w:after="120" w:line="300"/>
        <w:jc w:val="both"/>
      </w:pPr>
      <w:r>
        <w:rPr>
          <w:rFonts w:ascii="Arial" w:cs="Arial" w:eastAsia="Arial" w:hAnsi="Arial"/>
          <w:sz w:val="22"/>
          <w:szCs w:val="22"/>
        </w:rPr>
        <w:t xml:space="preserve">Los colores del diagrama agrupan las entidades por subsistema: morado para seguridad y usuarios, azul para territorio, verde para operación de recolección y ámbar para personalización y notificaciones.</w:t>
      </w:r>
    </w:p>
    <w:p>
      <w:r>
        <w:br w:type="page"/>
      </w:r>
    </w:p>
    <w:p>
      <w:pPr>
        <w:pStyle w:val="Heading1"/>
      </w:pPr>
      <w:r>
        <w:t xml:space="preserve">3. Diagrama entidad-relación</w:t>
      </w:r>
    </w:p>
    <w:p>
      <w:pPr>
        <w:jc w:val="center"/>
      </w:pPr>
      <w:r>
        <w:drawing>
          <wp:inline distT="0" distB="0" distL="0" distR="0">
            <wp:extent cx="5715000" cy="690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905625"/>
                    </a:xfrm>
                    <a:prstGeom prst="rect">
                      <a:avLst/>
                    </a:prstGeom>
                  </pic:spPr>
                </pic:pic>
              </a:graphicData>
            </a:graphic>
          </wp:inline>
        </w:drawing>
      </w:r>
    </w:p>
    <w:p>
      <w:pPr>
        <w:spacing w:after="200" w:before="80"/>
        <w:jc w:val="center"/>
      </w:pPr>
      <w:r>
        <w:rPr>
          <w:rFonts w:ascii="Arial" w:cs="Arial" w:eastAsia="Arial" w:hAnsi="Arial"/>
          <w:i/>
          <w:iCs/>
          <w:color w:val="475569"/>
          <w:sz w:val="19"/>
          <w:szCs w:val="19"/>
        </w:rPr>
        <w:t xml:space="preserve">Figura 1. Modelo entidad-relación de EcoRuta. Fuente: elaboración propia con Graphviz.</w:t>
      </w:r>
    </w:p>
    <w:p>
      <w:r>
        <w:br w:type="page"/>
      </w:r>
    </w:p>
    <w:p>
      <w:pPr>
        <w:pStyle w:val="Heading1"/>
      </w:pPr>
      <w:r>
        <w:t xml:space="preserve">4. Descripción de entidades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32"/>
        <w:gridCol w:w="5823"/>
        <w:gridCol w:w="971"/>
      </w:tblGrid>
      <w:tr>
        <w:trPr>
          <w:tblHeader/>
        </w:trPr>
        <w:tc>
          <w:tcPr>
            <w:tcW w:type="dxa" w:w="223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Entidad</w:t>
            </w:r>
          </w:p>
        </w:tc>
        <w:tc>
          <w:tcPr>
            <w:tcW w:type="dxa" w:w="582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97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Atributos</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roles</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Catálogo de perfiles de acceso al sistema.</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Personas registradas: ciudadanos, operadores y administradores.</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12</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zonas</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Agrupaciones operativas del territorio municipal.</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4</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barrios</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Barrios urbanos, sectores y veredas rurales donde se presta el servicio.</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7</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tipos_residuo</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Clasificación de residuos según el código nacional de colores.</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6</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vehiculos</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Camiones recolectores disponibles.</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rutas</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Recorridos de recolección realizados por un vehículo.</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7</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ruta_barrio</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Entidad asociativa que resuelve la relación N:M entre rutas y barrios, con orden de paso y desfase de llegada.</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4</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horarios</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Programación semanal de cada ruta por tipo de residuo.</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8</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ubicaciones_usuario</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Lugares guardados por el usuario (casa, trabajo, finca).</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7</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preferencias_notificacion</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Configuración de recordatorios de cada usuario (relación 1:1).</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6</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suscripciones_push</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Suscripciones Web Push por dispositivo o navegador.</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8</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novedades</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Avisos temporales del servicio: festivos, cambios y cancelaciones.</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10</w:t>
            </w:r>
          </w:p>
        </w:tc>
      </w:tr>
      <w:tr>
        <w:trPr>
          <w:cantSplit/>
        </w:trPr>
        <w:tc>
          <w:tcPr>
            <w:tcW w:type="dxa" w:w="223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reportes</w:t>
            </w:r>
          </w:p>
        </w:tc>
        <w:tc>
          <w:tcPr>
            <w:tcW w:type="dxa" w:w="582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Quejas o incidencias reportadas por los ciudadanos.</w:t>
            </w:r>
          </w:p>
        </w:tc>
        <w:tc>
          <w:tcPr>
            <w:tcW w:type="dxa" w:w="97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10</w:t>
            </w:r>
          </w:p>
        </w:tc>
      </w:tr>
      <w:tr>
        <w:trPr>
          <w:cantSplit/>
        </w:trPr>
        <w:tc>
          <w:tcPr>
            <w:tcW w:type="dxa" w:w="223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notificaciones</w:t>
            </w:r>
          </w:p>
        </w:tc>
        <w:tc>
          <w:tcPr>
            <w:tcW w:type="dxa" w:w="582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Historial de notificaciones enviadas a cada usuario.</w:t>
            </w:r>
          </w:p>
        </w:tc>
        <w:tc>
          <w:tcPr>
            <w:tcW w:type="dxa" w:w="97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9</w:t>
            </w:r>
          </w:p>
        </w:tc>
      </w:tr>
    </w:tbl>
    <w:p>
      <w:pPr>
        <w:pStyle w:val="Heading1"/>
      </w:pPr>
      <w:r>
        <w:t xml:space="preserve">5. Relaciones y cardinalidades</w:t>
      </w:r>
    </w:p>
    <w:p>
      <w:pPr>
        <w:spacing w:after="160" w:line="300"/>
        <w:jc w:val="both"/>
      </w:pPr>
      <w:r>
        <w:rPr>
          <w:rFonts w:ascii="Arial" w:cs="Arial" w:eastAsia="Arial" w:hAnsi="Arial"/>
          <w:sz w:val="22"/>
          <w:szCs w:val="22"/>
        </w:rPr>
        <w:t xml:space="preserve">Cada relación se lee de la entidad padre (que aporta la llave primaria) hacia la entidad hija (que contiene la llave foránea).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222"/>
        <w:gridCol w:w="2444"/>
        <w:gridCol w:w="1410"/>
        <w:gridCol w:w="2446"/>
      </w:tblGrid>
      <w:tr>
        <w:trPr>
          <w:tblHeader/>
        </w:trPr>
        <w:tc>
          <w:tcPr>
            <w:tcW w:type="dxa" w:w="150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Entidad padre</w:t>
            </w:r>
          </w:p>
        </w:tc>
        <w:tc>
          <w:tcPr>
            <w:tcW w:type="dxa" w:w="122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Relación</w:t>
            </w:r>
          </w:p>
        </w:tc>
        <w:tc>
          <w:tcPr>
            <w:tcW w:type="dxa" w:w="244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Entidad hija</w:t>
            </w:r>
          </w:p>
        </w:tc>
        <w:tc>
          <w:tcPr>
            <w:tcW w:type="dxa" w:w="141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Cardinalidad (padre : hijo)</w:t>
            </w:r>
          </w:p>
        </w:tc>
        <w:tc>
          <w:tcPr>
            <w:tcW w:type="dxa" w:w="244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 foránea</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roles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tiene</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usuarios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usuarios.id_rol</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zonas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agrupa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barrios</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barrios.id_zona</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vehiculos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asignado a</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0..1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rutas.id_vehiculo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rutas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recorre</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ruta_barrio</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1..N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ruta_barrio.id_ruta</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barrios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es recorrido</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ruta_barrio</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ruta_barrio.id_barrio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rutas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programa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horarios</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1..N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horarios.id_ruta</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tipos_residuo</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recoge</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horarios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horarios.id_tipo_residuo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guarda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ubicaciones_usuario</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ubicaciones_usuario.id_usuario</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barrios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ubicada en</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ubicaciones_usuario</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ubicaciones_usuario.id_barrio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configura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preferencias_notificacion</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0..1</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preferencias_notificacion.id_usuario</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registra</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suscripciones_push</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suscripciones_push.id_usuario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rutas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afecta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0..1 : 0..N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novedades.id_ruta</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publica</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novedades.id_usuario_autor</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crea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reportes.id_usuario</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barrios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ocurre en</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reportes.id_barrio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atiende</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0..1 : 0..N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reportes.id_usuario_atiende</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usuarios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recibe</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notificaciones.id_usuario</w:t>
            </w:r>
          </w:p>
        </w:tc>
      </w:tr>
      <w:tr>
        <w:trPr>
          <w:cantSplit/>
        </w:trPr>
        <w:tc>
          <w:tcPr>
            <w:tcW w:type="dxa" w:w="15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horarios</w:t>
            </w:r>
          </w:p>
        </w:tc>
        <w:tc>
          <w:tcPr>
            <w:tcW w:type="dxa" w:w="122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recuerda</w:t>
            </w:r>
          </w:p>
        </w:tc>
        <w:tc>
          <w:tcPr>
            <w:tcW w:type="dxa" w:w="244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w:t>
            </w:r>
          </w:p>
        </w:tc>
        <w:tc>
          <w:tcPr>
            <w:tcW w:type="dxa" w:w="14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0..1 : 0..N</w:t>
            </w:r>
          </w:p>
        </w:tc>
        <w:tc>
          <w:tcPr>
            <w:tcW w:type="dxa" w:w="244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notificaciones.id_horario</w:t>
            </w:r>
          </w:p>
        </w:tc>
      </w:tr>
      <w:tr>
        <w:trPr>
          <w:cantSplit/>
        </w:trPr>
        <w:tc>
          <w:tcPr>
            <w:tcW w:type="dxa" w:w="15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novedades</w:t>
            </w:r>
          </w:p>
        </w:tc>
        <w:tc>
          <w:tcPr>
            <w:tcW w:type="dxa" w:w="122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informa</w:t>
            </w:r>
          </w:p>
        </w:tc>
        <w:tc>
          <w:tcPr>
            <w:tcW w:type="dxa" w:w="244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w:t>
            </w:r>
          </w:p>
        </w:tc>
        <w:tc>
          <w:tcPr>
            <w:tcW w:type="dxa" w:w="14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0..1 : 0..N</w:t>
            </w:r>
          </w:p>
        </w:tc>
        <w:tc>
          <w:tcPr>
            <w:tcW w:type="dxa" w:w="244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notificaciones.id_novedad</w:t>
            </w:r>
          </w:p>
        </w:tc>
      </w:tr>
    </w:tbl>
    <w:p>
      <w:pPr>
        <w:spacing w:after="120"/>
      </w:pPr>
    </w:p>
    <w:p>
      <w:pPr>
        <w:spacing w:after="80" w:line="300"/>
        <w:jc w:val="both"/>
      </w:pPr>
      <w:r>
        <w:rPr>
          <w:rFonts w:ascii="Arial" w:cs="Arial" w:eastAsia="Arial" w:hAnsi="Arial"/>
          <w:b/>
          <w:bCs/>
          <w:sz w:val="22"/>
          <w:szCs w:val="22"/>
        </w:rPr>
        <w:t xml:space="preserve">Relaciones destacadas:</w:t>
      </w:r>
    </w:p>
    <w:p>
      <w:pPr>
        <w:pStyle w:val="ListParagraph"/>
        <w:numPr>
          <w:ilvl w:val="0"/>
          <w:numId w:val="2"/>
        </w:numPr>
        <w:spacing w:after="80" w:line="280"/>
      </w:pPr>
      <w:r>
        <w:rPr>
          <w:rFonts w:ascii="Arial" w:cs="Arial" w:eastAsia="Arial" w:hAnsi="Arial"/>
          <w:b/>
          <w:bCs/>
          <w:sz w:val="22"/>
          <w:szCs w:val="22"/>
        </w:rPr>
        <w:t xml:space="preserve">rutas – barrios (N:M):</w:t>
      </w:r>
      <w:r>
        <w:rPr>
          <w:rFonts w:ascii="Arial" w:cs="Arial" w:eastAsia="Arial" w:hAnsi="Arial"/>
          <w:sz w:val="22"/>
          <w:szCs w:val="22"/>
        </w:rPr>
        <w:t xml:space="preserve"> una ruta recorre varios barrios y un barrio puede ser atendido por varias rutas (por ejemplo, una para no aprovechables y otra para reciclaje). Se resuelve con la entidad asociativa ruta_barrio, cuya llave primaria compuesta es (id_ruta, id_barrio).</w:t>
      </w:r>
    </w:p>
    <w:p>
      <w:pPr>
        <w:pStyle w:val="ListParagraph"/>
        <w:numPr>
          <w:ilvl w:val="0"/>
          <w:numId w:val="2"/>
        </w:numPr>
        <w:spacing w:after="80" w:line="280"/>
      </w:pPr>
      <w:r>
        <w:rPr>
          <w:rFonts w:ascii="Arial" w:cs="Arial" w:eastAsia="Arial" w:hAnsi="Arial"/>
          <w:b/>
          <w:bCs/>
          <w:sz w:val="22"/>
          <w:szCs w:val="22"/>
        </w:rPr>
        <w:t xml:space="preserve">usuarios – preferencias_notificacion (1:1):</w:t>
      </w:r>
      <w:r>
        <w:rPr>
          <w:rFonts w:ascii="Arial" w:cs="Arial" w:eastAsia="Arial" w:hAnsi="Arial"/>
          <w:sz w:val="22"/>
          <w:szCs w:val="22"/>
        </w:rPr>
        <w:t xml:space="preserve"> la llave primaria de preferencias es a la vez llave foránea hacia usuarios, lo que impide más de una configuración por usuario.</w:t>
      </w:r>
    </w:p>
    <w:p>
      <w:pPr>
        <w:pStyle w:val="ListParagraph"/>
        <w:numPr>
          <w:ilvl w:val="0"/>
          <w:numId w:val="2"/>
        </w:numPr>
        <w:spacing w:after="80" w:line="280"/>
      </w:pPr>
      <w:r>
        <w:rPr>
          <w:rFonts w:ascii="Arial" w:cs="Arial" w:eastAsia="Arial" w:hAnsi="Arial"/>
          <w:b/>
          <w:bCs/>
          <w:sz w:val="22"/>
          <w:szCs w:val="22"/>
        </w:rPr>
        <w:t xml:space="preserve">usuarios – reportes (doble relación):</w:t>
      </w:r>
      <w:r>
        <w:rPr>
          <w:rFonts w:ascii="Arial" w:cs="Arial" w:eastAsia="Arial" w:hAnsi="Arial"/>
          <w:sz w:val="22"/>
          <w:szCs w:val="22"/>
        </w:rPr>
        <w:t xml:space="preserve"> un usuario crea reportes como ciudadano y, opcionalmente, los atiende como operador (id_usuario_atiende).</w:t>
      </w:r>
    </w:p>
    <w:p>
      <w:pPr>
        <w:pStyle w:val="ListParagraph"/>
        <w:numPr>
          <w:ilvl w:val="0"/>
          <w:numId w:val="2"/>
        </w:numPr>
        <w:spacing w:after="80" w:line="280"/>
      </w:pPr>
      <w:r>
        <w:rPr>
          <w:rFonts w:ascii="Arial" w:cs="Arial" w:eastAsia="Arial" w:hAnsi="Arial"/>
          <w:b/>
          <w:bCs/>
          <w:sz w:val="22"/>
          <w:szCs w:val="22"/>
        </w:rPr>
        <w:t xml:space="preserve">novedades – rutas (0..1):</w:t>
      </w:r>
      <w:r>
        <w:rPr>
          <w:rFonts w:ascii="Arial" w:cs="Arial" w:eastAsia="Arial" w:hAnsi="Arial"/>
          <w:sz w:val="22"/>
          <w:szCs w:val="22"/>
        </w:rPr>
        <w:t xml:space="preserve"> si id_ruta es nulo, la novedad aplica a todo el municipio.</w:t>
      </w:r>
    </w:p>
    <w:p>
      <w:r>
        <w:br w:type="page"/>
      </w:r>
    </w:p>
    <w:p>
      <w:pPr>
        <w:pStyle w:val="Heading1"/>
      </w:pPr>
      <w:r>
        <w:t xml:space="preserve">6. Diccionario de datos</w:t>
      </w:r>
    </w:p>
    <w:p>
      <w:pPr>
        <w:pStyle w:val="Heading2"/>
      </w:pPr>
      <w:r>
        <w:t xml:space="preserve">6.1 roles</w:t>
      </w:r>
    </w:p>
    <w:p>
      <w:pPr>
        <w:spacing w:after="80" w:line="300"/>
        <w:jc w:val="both"/>
      </w:pPr>
      <w:r>
        <w:rPr>
          <w:rFonts w:ascii="Arial" w:cs="Arial" w:eastAsia="Arial" w:hAnsi="Arial"/>
          <w:sz w:val="22"/>
          <w:szCs w:val="22"/>
        </w:rPr>
        <w:t xml:space="preserve">Catálogo de perfiles de acceso al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id_rol</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TINYINT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nombre</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VARCHAR(30)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descriptivo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descripcion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VARCHAR(150)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Descripción ampliada</w:t>
            </w:r>
          </w:p>
        </w:tc>
      </w:tr>
    </w:tbl>
    <w:p>
      <w:pPr>
        <w:spacing w:after="120"/>
      </w:pPr>
    </w:p>
    <w:p>
      <w:pPr>
        <w:pStyle w:val="Heading2"/>
      </w:pPr>
      <w:r>
        <w:t xml:space="preserve">6.2 usuarios</w:t>
      </w:r>
    </w:p>
    <w:p>
      <w:pPr>
        <w:spacing w:after="80" w:line="300"/>
        <w:jc w:val="both"/>
      </w:pPr>
      <w:r>
        <w:rPr>
          <w:rFonts w:ascii="Arial" w:cs="Arial" w:eastAsia="Arial" w:hAnsi="Arial"/>
          <w:sz w:val="22"/>
          <w:szCs w:val="22"/>
        </w:rPr>
        <w:t xml:space="preserve">Personas registradas: ciudadanos, operadores y administradores.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id_rol</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TINYINT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rol</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nombres</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VARCHAR(60)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Nombres del usuario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apellidos</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VARCHAR(60)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Apellidos del usuario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correo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VARCHAR(120)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Correo electrónico, usado como usuario de acceso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contrasena_hash</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CHAR(60)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Hash bcrypt de la contraseña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telefono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VARCHAR(15)</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Teléfono de contacto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acepta_tratamiento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Autorización de tratamiento de datos (Ley 1581/2012)</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estado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Estado del registro (valores ENUM)</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ultimo_acceso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del último inicio de sesión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fecha_creacion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creación</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fecha_actualizacion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la última modificación</w:t>
            </w:r>
          </w:p>
        </w:tc>
      </w:tr>
    </w:tbl>
    <w:p>
      <w:pPr>
        <w:spacing w:after="120"/>
      </w:pPr>
    </w:p>
    <w:p>
      <w:pPr>
        <w:pStyle w:val="Heading2"/>
      </w:pPr>
      <w:r>
        <w:t xml:space="preserve">6.3 zonas</w:t>
      </w:r>
    </w:p>
    <w:p>
      <w:pPr>
        <w:spacing w:after="80" w:line="300"/>
        <w:jc w:val="both"/>
      </w:pPr>
      <w:r>
        <w:rPr>
          <w:rFonts w:ascii="Arial" w:cs="Arial" w:eastAsia="Arial" w:hAnsi="Arial"/>
          <w:sz w:val="22"/>
          <w:szCs w:val="22"/>
        </w:rPr>
        <w:t xml:space="preserve">Agrupaciones operativas del territorio municipal.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id_zona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nombre</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VARCHAR(60)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descriptivo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descripcion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VARCHAR(200)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Descripción ampliada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activo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Indica si el registro está habilitado</w:t>
            </w:r>
          </w:p>
        </w:tc>
      </w:tr>
    </w:tbl>
    <w:p>
      <w:pPr>
        <w:spacing w:after="120"/>
      </w:pPr>
    </w:p>
    <w:p>
      <w:pPr>
        <w:pStyle w:val="Heading2"/>
      </w:pPr>
      <w:r>
        <w:t xml:space="preserve">6.4 barrios</w:t>
      </w:r>
    </w:p>
    <w:p>
      <w:pPr>
        <w:spacing w:after="80" w:line="300"/>
        <w:jc w:val="both"/>
      </w:pPr>
      <w:r>
        <w:rPr>
          <w:rFonts w:ascii="Arial" w:cs="Arial" w:eastAsia="Arial" w:hAnsi="Arial"/>
          <w:sz w:val="22"/>
          <w:szCs w:val="22"/>
        </w:rPr>
        <w:t xml:space="preserve">Barrios urbanos, sectores y veredas rurales donde se presta el servicio.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id_barrio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id_zona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zona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nombre</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VARCHAR(80)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descriptivo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tipo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Clasificación del registro (valores ENUM)</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latitud</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DECIMAL(9,6)</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Latitud del punto de referencia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longitud</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DECIMAL(9,6)</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Longitud del punto de referencia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activo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Indica si el registro está habilitado</w:t>
            </w:r>
          </w:p>
        </w:tc>
      </w:tr>
    </w:tbl>
    <w:p>
      <w:pPr>
        <w:spacing w:after="120"/>
      </w:pPr>
    </w:p>
    <w:p>
      <w:pPr>
        <w:pStyle w:val="Heading2"/>
      </w:pPr>
      <w:r>
        <w:t xml:space="preserve">6.5 tipos_residuo</w:t>
      </w:r>
    </w:p>
    <w:p>
      <w:pPr>
        <w:spacing w:after="80" w:line="300"/>
        <w:jc w:val="both"/>
      </w:pPr>
      <w:r>
        <w:rPr>
          <w:rFonts w:ascii="Arial" w:cs="Arial" w:eastAsia="Arial" w:hAnsi="Arial"/>
          <w:sz w:val="22"/>
          <w:szCs w:val="22"/>
        </w:rPr>
        <w:t xml:space="preserve">Clasificación de residuos según el código nacional de colores.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id_tipo_residuo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TINYINT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nombre</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VARCHAR(40)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descriptivo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descripcion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VARCHAR(250)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Descripción ampliada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color_hex</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CHAR(7)</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Color de interfaz en hexadecimal</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color_bolsa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VARCHAR(20)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Color de bolsa oficial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icono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VARCHAR(40)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del ícono usado en el frontend</w:t>
            </w:r>
          </w:p>
        </w:tc>
      </w:tr>
    </w:tbl>
    <w:p>
      <w:pPr>
        <w:spacing w:after="120"/>
      </w:pPr>
    </w:p>
    <w:p>
      <w:pPr>
        <w:pStyle w:val="Heading2"/>
      </w:pPr>
      <w:r>
        <w:t xml:space="preserve">6.6 vehiculos</w:t>
      </w:r>
    </w:p>
    <w:p>
      <w:pPr>
        <w:spacing w:after="80" w:line="300"/>
        <w:jc w:val="both"/>
      </w:pPr>
      <w:r>
        <w:rPr>
          <w:rFonts w:ascii="Arial" w:cs="Arial" w:eastAsia="Arial" w:hAnsi="Arial"/>
          <w:sz w:val="22"/>
          <w:szCs w:val="22"/>
        </w:rPr>
        <w:t xml:space="preserve">Camiones recolectores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id_vehiculo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placa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VARCHAR(7)</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Placa del vehículo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codigo_interno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VARCHAR(15)</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Código interno del prestador</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capacidad_ton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DECIMAL(5,2)</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Capacidad de carga en toneladas</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estado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Estado del registro (valores ENUM)</w:t>
            </w:r>
          </w:p>
        </w:tc>
      </w:tr>
    </w:tbl>
    <w:p>
      <w:pPr>
        <w:spacing w:after="120"/>
      </w:pPr>
    </w:p>
    <w:p>
      <w:pPr>
        <w:pStyle w:val="Heading2"/>
      </w:pPr>
      <w:r>
        <w:t xml:space="preserve">6.7 rutas</w:t>
      </w:r>
    </w:p>
    <w:p>
      <w:pPr>
        <w:spacing w:after="80" w:line="300"/>
        <w:jc w:val="both"/>
      </w:pPr>
      <w:r>
        <w:rPr>
          <w:rFonts w:ascii="Arial" w:cs="Arial" w:eastAsia="Arial" w:hAnsi="Arial"/>
          <w:sz w:val="22"/>
          <w:szCs w:val="22"/>
        </w:rPr>
        <w:t xml:space="preserve">Recorridos de recolección realizados por un vehículo.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id_ruta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id_vehiculo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vehiculo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codigo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Código corto de la ruta (ej. R-01)</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nombre</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VARCHAR(80)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descriptivo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descripcion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VARCHAR(250)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Descripción ampliada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estado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Estado del registro (valores ENUM)</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fecha_creacion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creación</w:t>
            </w:r>
          </w:p>
        </w:tc>
      </w:tr>
    </w:tbl>
    <w:p>
      <w:pPr>
        <w:spacing w:after="120"/>
      </w:pPr>
    </w:p>
    <w:p>
      <w:pPr>
        <w:pStyle w:val="Heading2"/>
      </w:pPr>
      <w:r>
        <w:t xml:space="preserve">6.8 ruta_barrio</w:t>
      </w:r>
    </w:p>
    <w:p>
      <w:pPr>
        <w:spacing w:after="80" w:line="300"/>
        <w:jc w:val="both"/>
      </w:pPr>
      <w:r>
        <w:rPr>
          <w:rFonts w:ascii="Arial" w:cs="Arial" w:eastAsia="Arial" w:hAnsi="Arial"/>
          <w:sz w:val="22"/>
          <w:szCs w:val="22"/>
        </w:rPr>
        <w:t xml:space="preserve">Entidad asociativa que resuelve la relación N:M entre rutas y barrios, con orden de paso y desfase de llegada.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id_ruta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 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ruta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id_barrio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 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barrio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orden_paso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TINYINT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Orden en que la ruta recorre el barrio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minutos_desde_inicio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Minutos estimados desde el inicio de la ruta hasta el barrio</w:t>
            </w:r>
          </w:p>
        </w:tc>
      </w:tr>
    </w:tbl>
    <w:p>
      <w:pPr>
        <w:spacing w:after="120"/>
      </w:pPr>
    </w:p>
    <w:p>
      <w:pPr>
        <w:pStyle w:val="Heading2"/>
      </w:pPr>
      <w:r>
        <w:t xml:space="preserve">6.9 horarios</w:t>
      </w:r>
    </w:p>
    <w:p>
      <w:pPr>
        <w:spacing w:after="80" w:line="300"/>
        <w:jc w:val="both"/>
      </w:pPr>
      <w:r>
        <w:rPr>
          <w:rFonts w:ascii="Arial" w:cs="Arial" w:eastAsia="Arial" w:hAnsi="Arial"/>
          <w:sz w:val="22"/>
          <w:szCs w:val="22"/>
        </w:rPr>
        <w:t xml:space="preserve">Programación semanal de cada ruta por tipo de residuo.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id_horario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id_ruta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ruta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id_tipo_residuo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TINYINT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tipo residuo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dia_semana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TINYINT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Día ISO 8601 (1 = lunes … 7 = domingo)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hora_inicio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 de inicio del recorrido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hora_fin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TIME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 estimada de fin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jornada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Mañana, tarde o noche</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activo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Indica si el registro está habilitado</w:t>
            </w:r>
          </w:p>
        </w:tc>
      </w:tr>
    </w:tbl>
    <w:p>
      <w:pPr>
        <w:spacing w:after="120"/>
      </w:pPr>
    </w:p>
    <w:p>
      <w:pPr>
        <w:pStyle w:val="Heading2"/>
      </w:pPr>
      <w:r>
        <w:t xml:space="preserve">6.10 ubicaciones_usuario</w:t>
      </w:r>
    </w:p>
    <w:p>
      <w:pPr>
        <w:spacing w:after="80" w:line="300"/>
        <w:jc w:val="both"/>
      </w:pPr>
      <w:r>
        <w:rPr>
          <w:rFonts w:ascii="Arial" w:cs="Arial" w:eastAsia="Arial" w:hAnsi="Arial"/>
          <w:sz w:val="22"/>
          <w:szCs w:val="22"/>
        </w:rPr>
        <w:t xml:space="preserve">Lugares guardados por el usuario (casa, trabajo, finca).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id_ubicacion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usuario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id_barrio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barrio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alias</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VARCHAR(40)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Nombre corto de la ubicación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direccion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VARCHAR(150)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Dirección de referencia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es_principal</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Marca la ubicación principal del usuario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fecha_creacion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creación</w:t>
            </w:r>
          </w:p>
        </w:tc>
      </w:tr>
    </w:tbl>
    <w:p>
      <w:pPr>
        <w:spacing w:after="120"/>
      </w:pPr>
    </w:p>
    <w:p>
      <w:pPr>
        <w:pStyle w:val="Heading2"/>
      </w:pPr>
      <w:r>
        <w:t xml:space="preserve">6.11 preferencias_notificacion</w:t>
      </w:r>
    </w:p>
    <w:p>
      <w:pPr>
        <w:spacing w:after="80" w:line="300"/>
        <w:jc w:val="both"/>
      </w:pPr>
      <w:r>
        <w:rPr>
          <w:rFonts w:ascii="Arial" w:cs="Arial" w:eastAsia="Arial" w:hAnsi="Arial"/>
          <w:sz w:val="22"/>
          <w:szCs w:val="22"/>
        </w:rPr>
        <w:t xml:space="preserve">Configuración de recordatorios de cada usuario (relación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 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usuario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recordatorio_activo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Activa los recordatorios previos</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minutos_antes</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Minutos de anticipación del recordatorio (5–720)</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recordatorio_noche</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Activa el aviso la noche anterior</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hora_noche</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Hora del aviso nocturno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avisar_novedades</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Notificar novedades que afecten al usuario</w:t>
            </w:r>
          </w:p>
        </w:tc>
      </w:tr>
    </w:tbl>
    <w:p>
      <w:pPr>
        <w:spacing w:after="120"/>
      </w:pPr>
    </w:p>
    <w:p>
      <w:pPr>
        <w:pStyle w:val="Heading2"/>
      </w:pPr>
      <w:r>
        <w:t xml:space="preserve">6.12 suscripciones_push</w:t>
      </w:r>
    </w:p>
    <w:p>
      <w:pPr>
        <w:spacing w:after="80" w:line="300"/>
        <w:jc w:val="both"/>
      </w:pPr>
      <w:r>
        <w:rPr>
          <w:rFonts w:ascii="Arial" w:cs="Arial" w:eastAsia="Arial" w:hAnsi="Arial"/>
          <w:sz w:val="22"/>
          <w:szCs w:val="22"/>
        </w:rPr>
        <w:t xml:space="preserve">Suscripciones Web Push por dispositivo o navegador.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id_suscripcion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usuario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endpoint</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VARCHAR(500)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UQ</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URL del servicio push del navegador</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clave_p256dh</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VARCHAR(255)</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Clave pública de cifrado de la suscripción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clave_auth</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Secreto de autenticación de la suscripción</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user_agent</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VARCHAR(255)</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Navegador y dispositivo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activa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Indica si la suscripción está vigente</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fecha_creacion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creación</w:t>
            </w:r>
          </w:p>
        </w:tc>
      </w:tr>
    </w:tbl>
    <w:p>
      <w:pPr>
        <w:spacing w:after="120"/>
      </w:pPr>
    </w:p>
    <w:p>
      <w:pPr>
        <w:pStyle w:val="Heading2"/>
      </w:pPr>
      <w:r>
        <w:t xml:space="preserve">6.13 novedades</w:t>
      </w:r>
    </w:p>
    <w:p>
      <w:pPr>
        <w:spacing w:after="80" w:line="300"/>
        <w:jc w:val="both"/>
      </w:pPr>
      <w:r>
        <w:rPr>
          <w:rFonts w:ascii="Arial" w:cs="Arial" w:eastAsia="Arial" w:hAnsi="Arial"/>
          <w:sz w:val="22"/>
          <w:szCs w:val="22"/>
        </w:rPr>
        <w:t xml:space="preserve">Avisos temporales del servicio: festivos, cambios y cancelaciones.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id_novedad</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id_ruta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SMALLINT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ruta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id_usuario_autor</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Usuario operador que publica la novedad</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tipo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Clasificación del registro (valores ENUM)</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titulo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Título visible</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descripcion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TEXT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Descripción ampliada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fecha_inicio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Inicio de vigencia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fecha_fin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Fin de vigencia</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publicada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Indica si está visible para los ciudadanos</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fecha_publicacion</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publicación</w:t>
            </w:r>
          </w:p>
        </w:tc>
      </w:tr>
    </w:tbl>
    <w:p>
      <w:pPr>
        <w:spacing w:after="120"/>
      </w:pPr>
    </w:p>
    <w:p>
      <w:pPr>
        <w:pStyle w:val="Heading2"/>
      </w:pPr>
      <w:r>
        <w:t xml:space="preserve">6.14 reportes</w:t>
      </w:r>
    </w:p>
    <w:p>
      <w:pPr>
        <w:spacing w:after="80" w:line="300"/>
        <w:jc w:val="both"/>
      </w:pPr>
      <w:r>
        <w:rPr>
          <w:rFonts w:ascii="Arial" w:cs="Arial" w:eastAsia="Arial" w:hAnsi="Arial"/>
          <w:sz w:val="22"/>
          <w:szCs w:val="22"/>
        </w:rPr>
        <w:t xml:space="preserve">Quejas o incidencias reportadas por los ciudadanos.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id_reporte</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usuario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id_barrio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barrio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tipo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Clasificación del registro (valores ENUM)</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descripcion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VARCHAR(500)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Descripción ampliada</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estado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Estado del registro (valores ENUM)</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respuesta</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VARCHAR(500)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Respuesta del operador</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id_usuario_atiende</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 que atendió el reporte (opcional)</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fecha_reporte</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del reporte</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fecha_respuesta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la respuesta</w:t>
            </w:r>
          </w:p>
        </w:tc>
      </w:tr>
    </w:tbl>
    <w:p>
      <w:pPr>
        <w:spacing w:after="120"/>
      </w:pPr>
    </w:p>
    <w:p>
      <w:pPr>
        <w:pStyle w:val="Heading2"/>
      </w:pPr>
      <w:r>
        <w:t xml:space="preserve">6.15 notificaciones</w:t>
      </w:r>
    </w:p>
    <w:p>
      <w:pPr>
        <w:spacing w:after="80" w:line="300"/>
        <w:jc w:val="both"/>
      </w:pPr>
      <w:r>
        <w:rPr>
          <w:rFonts w:ascii="Arial" w:cs="Arial" w:eastAsia="Arial" w:hAnsi="Arial"/>
          <w:sz w:val="22"/>
          <w:szCs w:val="22"/>
        </w:rPr>
        <w:t xml:space="preserve">Historial de notificaciones enviadas a cada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75"/>
        <w:gridCol w:w="1615"/>
        <w:gridCol w:w="950"/>
        <w:gridCol w:w="4086"/>
      </w:tblGrid>
      <w:tr>
        <w:trPr>
          <w:tblHeader/>
        </w:trPr>
        <w:tc>
          <w:tcPr>
            <w:tcW w:type="dxa" w:w="23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Atributo</w:t>
            </w:r>
          </w:p>
        </w:tc>
        <w:tc>
          <w:tcPr>
            <w:tcW w:type="dxa" w:w="161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Tipo</w:t>
            </w:r>
          </w:p>
        </w:tc>
        <w:tc>
          <w:tcPr>
            <w:tcW w:type="dxa" w:w="95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Llave</w:t>
            </w:r>
          </w:p>
        </w:tc>
        <w:tc>
          <w:tcPr>
            <w:tcW w:type="dxa" w:w="408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id_notificacion</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BIGINT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Identificador único (autoincremental)</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id_usuario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usuario</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id_horario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horario</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id_novedad</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INT</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FK</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Referencia a novedad</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tipo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ENUM</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Clasificación del registro (valores ENUM)</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titulo</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VARCHAR(100)</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Título visible</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mensaje</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VARCHAR(300)</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Cuerpo de la notificación</w:t>
            </w:r>
          </w:p>
        </w:tc>
      </w:tr>
      <w:tr>
        <w:trPr>
          <w:cantSplit/>
        </w:trPr>
        <w:tc>
          <w:tcPr>
            <w:tcW w:type="dxa" w:w="23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leida</w:t>
            </w:r>
          </w:p>
        </w:tc>
        <w:tc>
          <w:tcPr>
            <w:tcW w:type="dxa" w:w="161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BOOLEAN</w:t>
            </w:r>
          </w:p>
        </w:tc>
        <w:tc>
          <w:tcPr>
            <w:tcW w:type="dxa" w:w="95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Indica si el usuario la leyó</w:t>
            </w:r>
          </w:p>
        </w:tc>
      </w:tr>
      <w:tr>
        <w:trPr>
          <w:cantSplit/>
        </w:trPr>
        <w:tc>
          <w:tcPr>
            <w:tcW w:type="dxa" w:w="23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fecha_envio</w:t>
            </w:r>
          </w:p>
        </w:tc>
        <w:tc>
          <w:tcPr>
            <w:tcW w:type="dxa" w:w="161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DATETIME</w:t>
            </w:r>
          </w:p>
        </w:tc>
        <w:tc>
          <w:tcPr>
            <w:tcW w:type="dxa" w:w="95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408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Fecha y hora de envío</w:t>
            </w:r>
          </w:p>
        </w:tc>
      </w:tr>
    </w:tbl>
    <w:p>
      <w:pPr>
        <w:spacing w:after="120"/>
      </w:pPr>
    </w:p>
    <w:p>
      <w:pPr>
        <w:pStyle w:val="Heading1"/>
      </w:pPr>
      <w:r>
        <w:t xml:space="preserve">7. Normalización</w:t>
      </w:r>
    </w:p>
    <w:p>
      <w:pPr>
        <w:spacing w:after="160" w:line="300"/>
        <w:jc w:val="both"/>
      </w:pPr>
      <w:r>
        <w:rPr>
          <w:rFonts w:ascii="Arial" w:cs="Arial" w:eastAsia="Arial" w:hAnsi="Arial"/>
          <w:sz w:val="22"/>
          <w:szCs w:val="22"/>
        </w:rPr>
        <w:t xml:space="preserve">El modelo se diseñó en </w:t>
      </w:r>
      <w:r>
        <w:rPr>
          <w:rFonts w:ascii="Arial" w:cs="Arial" w:eastAsia="Arial" w:hAnsi="Arial"/>
          <w:b/>
          <w:bCs/>
          <w:sz w:val="22"/>
          <w:szCs w:val="22"/>
        </w:rPr>
        <w:t xml:space="preserve">tercera forma normal (3FN)</w:t>
      </w:r>
      <w:r>
        <w:rPr>
          <w:rFonts w:ascii="Arial" w:cs="Arial" w:eastAsia="Arial" w:hAnsi="Arial"/>
          <w:sz w:val="22"/>
          <w:szCs w:val="22"/>
        </w:rPr>
        <w:t xml:space="preserve">, siguiendo los criterios clásicos de Codd recogidos por Elmasri y Navathe (2016):</w:t>
      </w:r>
    </w:p>
    <w:p>
      <w:pPr>
        <w:pStyle w:val="ListParagraph"/>
        <w:numPr>
          <w:ilvl w:val="0"/>
          <w:numId w:val="2"/>
        </w:numPr>
        <w:spacing w:after="80" w:line="280"/>
      </w:pPr>
      <w:r>
        <w:rPr>
          <w:rFonts w:ascii="Arial" w:cs="Arial" w:eastAsia="Arial" w:hAnsi="Arial"/>
          <w:b/>
          <w:bCs/>
          <w:sz w:val="22"/>
          <w:szCs w:val="22"/>
        </w:rPr>
        <w:t xml:space="preserve">Primera forma normal (1FN):</w:t>
      </w:r>
      <w:r>
        <w:rPr>
          <w:rFonts w:ascii="Arial" w:cs="Arial" w:eastAsia="Arial" w:hAnsi="Arial"/>
          <w:sz w:val="22"/>
          <w:szCs w:val="22"/>
        </w:rPr>
        <w:t xml:space="preserve"> todos los atributos son atómicos. Por ejemplo, los días de recolección no se guardan como una lista «lun, mié, vie» dentro de un campo, sino como un registro por día en la tabla horarios.</w:t>
      </w:r>
    </w:p>
    <w:p>
      <w:pPr>
        <w:pStyle w:val="ListParagraph"/>
        <w:numPr>
          <w:ilvl w:val="0"/>
          <w:numId w:val="2"/>
        </w:numPr>
        <w:spacing w:after="80" w:line="280"/>
      </w:pPr>
      <w:r>
        <w:rPr>
          <w:rFonts w:ascii="Arial" w:cs="Arial" w:eastAsia="Arial" w:hAnsi="Arial"/>
          <w:b/>
          <w:bCs/>
          <w:sz w:val="22"/>
          <w:szCs w:val="22"/>
        </w:rPr>
        <w:t xml:space="preserve">Segunda forma normal (2FN):</w:t>
      </w:r>
      <w:r>
        <w:rPr>
          <w:rFonts w:ascii="Arial" w:cs="Arial" w:eastAsia="Arial" w:hAnsi="Arial"/>
          <w:sz w:val="22"/>
          <w:szCs w:val="22"/>
        </w:rPr>
        <w:t xml:space="preserve"> en la única tabla con llave compuesta, ruta_barrio, los atributos orden_paso y minutos_desde_inicio dependen de la combinación completa ruta–barrio y no de una sola parte.</w:t>
      </w:r>
    </w:p>
    <w:p>
      <w:pPr>
        <w:pStyle w:val="ListParagraph"/>
        <w:numPr>
          <w:ilvl w:val="0"/>
          <w:numId w:val="2"/>
        </w:numPr>
        <w:spacing w:after="80" w:line="280"/>
      </w:pPr>
      <w:r>
        <w:rPr>
          <w:rFonts w:ascii="Arial" w:cs="Arial" w:eastAsia="Arial" w:hAnsi="Arial"/>
          <w:b/>
          <w:bCs/>
          <w:sz w:val="22"/>
          <w:szCs w:val="22"/>
        </w:rPr>
        <w:t xml:space="preserve">Tercera forma normal (3FN):</w:t>
      </w:r>
      <w:r>
        <w:rPr>
          <w:rFonts w:ascii="Arial" w:cs="Arial" w:eastAsia="Arial" w:hAnsi="Arial"/>
          <w:sz w:val="22"/>
          <w:szCs w:val="22"/>
        </w:rPr>
        <w:t xml:space="preserve"> no existen dependencias transitivas. El color de bolsa depende del tipo de residuo y no del horario, por eso vive en tipos_residuo; la zona depende del barrio, por eso el horario no la almacena.</w:t>
      </w:r>
    </w:p>
    <w:p>
      <w:pPr>
        <w:spacing w:after="160" w:line="300"/>
        <w:jc w:val="both"/>
      </w:pPr>
      <w:r>
        <w:rPr>
          <w:rFonts w:ascii="Arial" w:cs="Arial" w:eastAsia="Arial" w:hAnsi="Arial"/>
          <w:sz w:val="22"/>
          <w:szCs w:val="22"/>
        </w:rPr>
        <w:t xml:space="preserve">La hora estimada de paso por barrio no se almacena, sino que se calcula en la vista vw_horarios_por_barrio (hora_inicio + minutos_desde_inicio). Esta decisión evita inconsistencias cuando el operador modifica la hora de inicio de una ruta.</w:t>
      </w:r>
    </w:p>
    <w:p>
      <w:pPr>
        <w:pStyle w:val="Heading1"/>
      </w:pPr>
      <w:r>
        <w:t xml:space="preserve">8. Resultados de la implementación física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7"/>
        <w:gridCol w:w="1002"/>
        <w:gridCol w:w="5517"/>
      </w:tblGrid>
      <w:tr>
        <w:trPr>
          <w:tblHeader/>
        </w:trPr>
        <w:tc>
          <w:tcPr>
            <w:tcW w:type="dxa" w:w="2507"/>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Elemento</w:t>
            </w:r>
          </w:p>
        </w:tc>
        <w:tc>
          <w:tcPr>
            <w:tcW w:type="dxa" w:w="10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Cantidad</w:t>
            </w:r>
          </w:p>
        </w:tc>
        <w:tc>
          <w:tcPr>
            <w:tcW w:type="dxa" w:w="5517"/>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Detalle</w:t>
            </w:r>
          </w:p>
        </w:tc>
      </w:tr>
      <w:tr>
        <w:trPr>
          <w:cantSplit/>
        </w:trPr>
        <w:tc>
          <w:tcPr>
            <w:tcW w:type="dxa" w:w="250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Tablas</w:t>
            </w:r>
          </w:p>
        </w:tc>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15</w:t>
            </w:r>
          </w:p>
        </w:tc>
        <w:tc>
          <w:tcPr>
            <w:tcW w:type="dxa" w:w="551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Motor InnoDB, utf8mb4_unicode_ci</w:t>
            </w:r>
          </w:p>
        </w:tc>
      </w:tr>
      <w:tr>
        <w:trPr>
          <w:cantSplit/>
        </w:trPr>
        <w:tc>
          <w:tcPr>
            <w:tcW w:type="dxa" w:w="2507"/>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Relaciones (llaves foráneas)</w:t>
            </w:r>
          </w:p>
        </w:tc>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19</w:t>
            </w:r>
          </w:p>
        </w:tc>
        <w:tc>
          <w:tcPr>
            <w:tcW w:type="dxa" w:w="5517"/>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ON UPDATE CASCADE; ON DELETE según la regla de negocio</w:t>
            </w:r>
          </w:p>
        </w:tc>
      </w:tr>
      <w:tr>
        <w:trPr>
          <w:cantSplit/>
        </w:trPr>
        <w:tc>
          <w:tcPr>
            <w:tcW w:type="dxa" w:w="250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Vistas</w:t>
            </w:r>
          </w:p>
        </w:tc>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2</w:t>
            </w:r>
          </w:p>
        </w:tc>
        <w:tc>
          <w:tcPr>
            <w:tcW w:type="dxa" w:w="551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vw_horarios_por_barrio, vw_reportes_pendientes</w:t>
            </w:r>
          </w:p>
        </w:tc>
      </w:tr>
      <w:tr>
        <w:trPr>
          <w:cantSplit/>
        </w:trPr>
        <w:tc>
          <w:tcPr>
            <w:tcW w:type="dxa" w:w="2507"/>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Procedimientos almacenados</w:t>
            </w:r>
          </w:p>
        </w:tc>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c>
          <w:tcPr>
            <w:tcW w:type="dxa" w:w="5517"/>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sp_horarios_por_barrio, sp_proximas_recolecciones, sp_usuarios_a_notificar</w:t>
            </w:r>
          </w:p>
        </w:tc>
      </w:tr>
      <w:tr>
        <w:trPr>
          <w:cantSplit/>
        </w:trPr>
        <w:tc>
          <w:tcPr>
            <w:tcW w:type="dxa" w:w="250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Restricciones CHECK</w:t>
            </w:r>
          </w:p>
        </w:tc>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4</w:t>
            </w:r>
          </w:p>
        </w:tc>
        <w:tc>
          <w:tcPr>
            <w:tcW w:type="dxa" w:w="551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Día de la semana, rango de horas, vigencias y minutos de anticipación</w:t>
            </w:r>
          </w:p>
        </w:tc>
      </w:tr>
      <w:tr>
        <w:trPr>
          <w:cantSplit/>
        </w:trPr>
        <w:tc>
          <w:tcPr>
            <w:tcW w:type="dxa" w:w="2507"/>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Datos semilla</w:t>
            </w:r>
          </w:p>
        </w:tc>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w:t>
            </w:r>
          </w:p>
        </w:tc>
        <w:tc>
          <w:tcPr>
            <w:tcW w:type="dxa" w:w="5517"/>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Roles, 3 usuarios de prueba, 4 zonas, 9 barrios, 3 tipos de residuo, 3 vehículos, 4 rutas y 13 horarios</w:t>
            </w:r>
          </w:p>
        </w:tc>
      </w:tr>
    </w:tbl>
    <w:p>
      <w:pPr>
        <w:spacing w:after="120" w:line="300"/>
        <w:jc w:val="both"/>
      </w:pPr>
      <w:r>
        <w:rPr>
          <w:rFonts w:ascii="Arial" w:cs="Arial" w:eastAsia="Arial" w:hAnsi="Arial"/>
          <w:sz w:val="22"/>
          <w:szCs w:val="22"/>
        </w:rPr>
        <w:t xml:space="preserve">El script fue ejecutado y validado de principio a fin, incluida su re-ejecución, y las consultas de prueba de los procedimientos devolvieron las próximas recolecciones con fechas correctas.</w:t>
      </w:r>
    </w:p>
    <w:p>
      <w:pPr>
        <w:pStyle w:val="Heading1"/>
      </w:pPr>
      <w:r>
        <w:t xml:space="preserve">9. Conclusiones</w:t>
      </w:r>
    </w:p>
    <w:p>
      <w:pPr>
        <w:spacing w:after="160" w:line="300"/>
        <w:jc w:val="both"/>
      </w:pPr>
      <w:r>
        <w:rPr>
          <w:rFonts w:ascii="Arial" w:cs="Arial" w:eastAsia="Arial" w:hAnsi="Arial"/>
          <w:sz w:val="22"/>
          <w:szCs w:val="22"/>
        </w:rPr>
        <w:t xml:space="preserve">El modelo entidad-relación de EcoRuta organiza en cuatro subsistemas coherentes la información necesaria para responder la pregunta central de la aplicación: ¿cuándo pasa el camión por mi barrio? La entidad asociativa ruta_barrio es la pieza clave, ya que permite modelar recorridos reales y estimar la hora de llegada sin duplicar horarios por cada barrio.</w:t>
      </w:r>
    </w:p>
    <w:p>
      <w:pPr>
        <w:spacing w:after="160" w:line="300"/>
        <w:jc w:val="both"/>
      </w:pPr>
      <w:r>
        <w:rPr>
          <w:rFonts w:ascii="Arial" w:cs="Arial" w:eastAsia="Arial" w:hAnsi="Arial"/>
          <w:sz w:val="22"/>
          <w:szCs w:val="22"/>
        </w:rPr>
        <w:t xml:space="preserve">La aplicación de la tercera forma normal y de restricciones declarativas (llaves foráneas, valores únicos y validaciones CHECK) traslada a la base de datos parte de la lógica de integridad, reduciendo errores en la capa de aplicación. A su vez, las vistas y los procedimientos almacenados simplifican el trabajo del backend en Express, que puede obtener los horarios o los usuarios por notificar con una sola llamada.</w:t>
      </w:r>
    </w:p>
    <w:p>
      <w:pPr>
        <w:spacing w:after="160" w:line="300"/>
        <w:jc w:val="both"/>
      </w:pPr>
      <w:r>
        <w:rPr>
          <w:rFonts w:ascii="Arial" w:cs="Arial" w:eastAsia="Arial" w:hAnsi="Arial"/>
          <w:sz w:val="22"/>
          <w:szCs w:val="22"/>
        </w:rPr>
        <w:t xml:space="preserve">Finalmente, el diseño es extensible: incorporar rastreo GPS de vehículos, puntos limpios o encuestas de satisfacción implicaría agregar nuevas entidades sin alterar la estructura existente.</w:t>
      </w:r>
    </w:p>
    <w:p>
      <w:pPr>
        <w:pStyle w:val="Heading1"/>
      </w:pPr>
      <w:r>
        <w:t xml:space="preserve">Referencias</w:t>
      </w:r>
    </w:p>
    <w:p>
      <w:pPr>
        <w:spacing w:after="160" w:line="300"/>
        <w:jc w:val="both"/>
      </w:pPr>
      <w:r>
        <w:rPr>
          <w:rFonts w:ascii="Arial" w:cs="Arial" w:eastAsia="Arial" w:hAnsi="Arial"/>
          <w:i/>
          <w:iCs/>
          <w:color w:val="475569"/>
          <w:sz w:val="18"/>
          <w:szCs w:val="18"/>
        </w:rPr>
        <w:t xml:space="preserve">Nota: verifique las referencias antes de entregarlas; fueron elaboradas sin consulta a bases de datos en línea.</w:t>
      </w:r>
    </w:p>
    <w:p>
      <w:pPr>
        <w:spacing w:after="160" w:line="300"/>
        <w:ind w:left="720" w:hanging="720"/>
        <w:jc w:val="left"/>
      </w:pPr>
      <w:r>
        <w:rPr>
          <w:rFonts w:ascii="Arial" w:cs="Arial" w:eastAsia="Arial" w:hAnsi="Arial"/>
          <w:sz w:val="22"/>
          <w:szCs w:val="22"/>
        </w:rPr>
        <w:t xml:space="preserve">Chen, P. P.-S. (1976). The entity-relationship model—Toward a unified view of data. </w:t>
      </w:r>
      <w:r>
        <w:rPr>
          <w:rFonts w:ascii="Arial" w:cs="Arial" w:eastAsia="Arial" w:hAnsi="Arial"/>
          <w:i/>
          <w:iCs/>
          <w:sz w:val="22"/>
          <w:szCs w:val="22"/>
        </w:rPr>
        <w:t xml:space="preserve">ACM Transactions on Database Systems, 1</w:t>
      </w:r>
      <w:r>
        <w:rPr>
          <w:rFonts w:ascii="Arial" w:cs="Arial" w:eastAsia="Arial" w:hAnsi="Arial"/>
          <w:sz w:val="22"/>
          <w:szCs w:val="22"/>
        </w:rPr>
        <w:t xml:space="preserve">(1), 9–36. https://doi.org/10.1145/320434.320440</w:t>
      </w:r>
    </w:p>
    <w:p>
      <w:pPr>
        <w:spacing w:after="160" w:line="300"/>
        <w:ind w:left="720" w:hanging="720"/>
        <w:jc w:val="left"/>
      </w:pPr>
      <w:r>
        <w:rPr>
          <w:rFonts w:ascii="Arial" w:cs="Arial" w:eastAsia="Arial" w:hAnsi="Arial"/>
          <w:sz w:val="22"/>
          <w:szCs w:val="22"/>
        </w:rPr>
        <w:t xml:space="preserve">Codd, E. F. (1970). A relational model of data for large shared data banks. </w:t>
      </w:r>
      <w:r>
        <w:rPr>
          <w:rFonts w:ascii="Arial" w:cs="Arial" w:eastAsia="Arial" w:hAnsi="Arial"/>
          <w:i/>
          <w:iCs/>
          <w:sz w:val="22"/>
          <w:szCs w:val="22"/>
        </w:rPr>
        <w:t xml:space="preserve">Communications of the ACM, 13</w:t>
      </w:r>
      <w:r>
        <w:rPr>
          <w:rFonts w:ascii="Arial" w:cs="Arial" w:eastAsia="Arial" w:hAnsi="Arial"/>
          <w:sz w:val="22"/>
          <w:szCs w:val="22"/>
        </w:rPr>
        <w:t xml:space="preserve">(6), 377–387. https://doi.org/10.1145/362384.362685</w:t>
      </w:r>
    </w:p>
    <w:p>
      <w:pPr>
        <w:spacing w:after="160" w:line="300"/>
        <w:ind w:left="720" w:hanging="720"/>
        <w:jc w:val="left"/>
      </w:pPr>
      <w:r>
        <w:rPr>
          <w:rFonts w:ascii="Arial" w:cs="Arial" w:eastAsia="Arial" w:hAnsi="Arial"/>
          <w:sz w:val="22"/>
          <w:szCs w:val="22"/>
        </w:rPr>
        <w:t xml:space="preserve">Elmasri, R., &amp; Navathe, S. B. (2016). </w:t>
      </w:r>
      <w:r>
        <w:rPr>
          <w:rFonts w:ascii="Arial" w:cs="Arial" w:eastAsia="Arial" w:hAnsi="Arial"/>
          <w:i/>
          <w:iCs/>
          <w:sz w:val="22"/>
          <w:szCs w:val="22"/>
        </w:rPr>
        <w:t xml:space="preserve">Fundamentals of database systems</w:t>
      </w:r>
      <w:r>
        <w:rPr>
          <w:rFonts w:ascii="Arial" w:cs="Arial" w:eastAsia="Arial" w:hAnsi="Arial"/>
          <w:sz w:val="22"/>
          <w:szCs w:val="22"/>
        </w:rPr>
        <w:t xml:space="preserve"> (7th ed.). Pearson.</w:t>
      </w:r>
    </w:p>
    <w:p>
      <w:pPr>
        <w:spacing w:after="160" w:line="300"/>
        <w:ind w:left="720" w:hanging="720"/>
        <w:jc w:val="left"/>
      </w:pPr>
      <w:r>
        <w:rPr>
          <w:rFonts w:ascii="Arial" w:cs="Arial" w:eastAsia="Arial" w:hAnsi="Arial"/>
          <w:sz w:val="22"/>
          <w:szCs w:val="22"/>
        </w:rPr>
        <w:t xml:space="preserve">Oracle Corporation. (s. f.). </w:t>
      </w:r>
      <w:r>
        <w:rPr>
          <w:rFonts w:ascii="Arial" w:cs="Arial" w:eastAsia="Arial" w:hAnsi="Arial"/>
          <w:i/>
          <w:iCs/>
          <w:sz w:val="22"/>
          <w:szCs w:val="22"/>
        </w:rPr>
        <w:t xml:space="preserve">MySQL 8.0 reference manual</w:t>
      </w:r>
      <w:r>
        <w:rPr>
          <w:rFonts w:ascii="Arial" w:cs="Arial" w:eastAsia="Arial" w:hAnsi="Arial"/>
          <w:sz w:val="22"/>
          <w:szCs w:val="22"/>
        </w:rPr>
        <w:t xml:space="preserve">. https://dev.mysql.com/doc/refman/8.0/en/</w:t>
      </w:r>
    </w:p>
    <w:p>
      <w:pPr>
        <w:spacing w:after="160" w:line="300"/>
        <w:ind w:left="720" w:hanging="720"/>
        <w:jc w:val="left"/>
      </w:pPr>
      <w:r>
        <w:rPr>
          <w:rFonts w:ascii="Arial" w:cs="Arial" w:eastAsia="Arial" w:hAnsi="Arial"/>
          <w:sz w:val="22"/>
          <w:szCs w:val="22"/>
        </w:rPr>
        <w:t xml:space="preserve">Silberschatz, A., Korth, H. F., &amp; Sudarshan, S. (2020). </w:t>
      </w:r>
      <w:r>
        <w:rPr>
          <w:rFonts w:ascii="Arial" w:cs="Arial" w:eastAsia="Arial" w:hAnsi="Arial"/>
          <w:i/>
          <w:iCs/>
          <w:sz w:val="22"/>
          <w:szCs w:val="22"/>
        </w:rPr>
        <w:t xml:space="preserve">Database system concepts</w:t>
      </w:r>
      <w:r>
        <w:rPr>
          <w:rFonts w:ascii="Arial" w:cs="Arial" w:eastAsia="Arial" w:hAnsi="Arial"/>
          <w:sz w:val="22"/>
          <w:szCs w:val="22"/>
        </w:rPr>
        <w:t xml:space="preserve"> (7th ed.). McGraw-Hill.</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7"/>
        <w:szCs w:val="17"/>
      </w:rPr>
      <w:t xml:space="preserve">Página </w:t>
    </w:r>
    <w:r>
      <w:rPr>
        <w:rFonts w:ascii="Arial" w:cs="Arial" w:eastAsia="Arial" w:hAnsi="Arial"/>
        <w:color w:val="47556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jc w:val="right"/>
    </w:pPr>
    <w:r>
      <w:rPr>
        <w:rFonts w:ascii="Arial" w:cs="Arial" w:eastAsia="Arial" w:hAnsi="Arial"/>
        <w:color w:val="475569"/>
        <w:sz w:val="17"/>
        <w:szCs w:val="17"/>
      </w:rPr>
      <w:t xml:space="preserve">EcoRuta · Modelo entidad-relación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A34A" w:sz="8" w:space="4"/>
      </w:pBdr>
      <w:spacing w:after="180" w:before="320"/>
      <w:outlineLvl w:val="0"/>
    </w:pPr>
    <w:rPr>
      <w:rFonts w:ascii="Arial" w:cs="Arial" w:eastAsia="Arial" w:hAnsi="Arial"/>
      <w:b/>
      <w:bCs/>
      <w:color w:val="14532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F766E"/>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A3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e497d0d184fdc9e4dac04df37445a6b7a7d903.png"/><Relationship Id="rId10" Type="http://schemas.openxmlformats.org/officeDocument/2006/relationships/image" Target="media/bf9216c4e1bcbf61078fc79b312f9ee7da7dd0f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entidad-relación</dc:title>
  <dc:creator>Liseth Arelis Giraldo Morales</dc:creator>
  <cp:lastModifiedBy>Un-named</cp:lastModifiedBy>
  <cp:revision>1</cp:revision>
  <dcterms:created xsi:type="dcterms:W3CDTF">2026-10-01T20:38:45.993Z</dcterms:created>
  <dcterms:modified xsi:type="dcterms:W3CDTF">2026-10-01T20:38:45.993Z</dcterms:modified>
</cp:coreProperties>
</file>

<file path=docProps/custom.xml><?xml version="1.0" encoding="utf-8"?>
<Properties xmlns="http://schemas.openxmlformats.org/officeDocument/2006/custom-properties" xmlns:vt="http://schemas.openxmlformats.org/officeDocument/2006/docPropsVTypes"/>
</file>