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2"/>
          <w:szCs w:val="52"/>
        </w:rPr>
        <w:t xml:space="preserve">Invoices by Province/State</w:t>
      </w:r>
    </w:p>
    <w:p>
      <w:pPr>
        <w:spacing w:before="0" w:after="80"/>
        <w:jc w:val="center"/>
      </w:pPr>
      <w:r>
        <w:rPr>
          <w:rFonts w:ascii="Arial" w:cs="Arial" w:eastAsia="Arial" w:hAnsi="Arial"/>
          <w:color w:val="2E75B6"/>
          <w:sz w:val="28"/>
          <w:szCs w:val="28"/>
        </w:rPr>
        <w:t xml:space="preserve">Epicor Kinetic — BAQ + SSRS Build Guide</w:t>
      </w:r>
    </w:p>
    <w:p>
      <w:pPr>
        <w:spacing w:before="0" w:after="600"/>
        <w:jc w:val="center"/>
      </w:pPr>
      <w:r>
        <w:rPr>
          <w:rFonts w:ascii="Arial" w:cs="Arial" w:eastAsia="Arial" w:hAnsi="Arial"/>
          <w:color w:val="666666"/>
          <w:sz w:val="22"/>
          <w:szCs w:val="22"/>
        </w:rPr>
        <w:t xml:space="preserve">Step-by-Step Reference for Migration from SAP ZFI_INVOICE_STATE</w:t>
      </w:r>
    </w:p>
    <w:p>
      <w:pPr>
        <w:pBdr>
          <w:bottom w:val="single" w:color="2E75B6" w:sz="8" w:space="1"/>
        </w:pBdr>
        <w:spacing w:before="0" w:after="120"/>
      </w:pP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tcPr>
          <w:p>
            <w:pPr>
              <w:spacing w:before="60" w:after="100"/>
              <w:rPr>
                <w:b/>
                <w:bCs/>
                <w:color w:val="FFFFFF"/>
                <w:sz w:val="22"/>
                <w:szCs w:val="22"/>
              </w:rPr>
            </w:pPr>
            <w:r>
              <w:rPr>
                <w:rFonts w:ascii="Arial" w:cs="Arial" w:eastAsia="Arial" w:hAnsi="Arial"/>
                <w:b/>
                <w:bCs/>
                <w:color w:val="FFFFFF"/>
                <w:sz w:val="22"/>
                <w:szCs w:val="22"/>
              </w:rPr>
              <w:t xml:space="preserve">What you have already</w:t>
            </w:r>
          </w:p>
        </w:tc>
        <w:tc>
          <w:tcPr>
            <w:tcW w:type="dxa" w:w="468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tcPr>
          <w:p>
            <w:pPr>
              <w:spacing w:before="60" w:after="100"/>
              <w:rPr>
                <w:b/>
                <w:bCs/>
                <w:color w:val="FFFFFF"/>
                <w:sz w:val="22"/>
                <w:szCs w:val="22"/>
              </w:rPr>
            </w:pPr>
            <w:r>
              <w:rPr>
                <w:rFonts w:ascii="Arial" w:cs="Arial" w:eastAsia="Arial" w:hAnsi="Arial"/>
                <w:b/>
                <w:bCs/>
                <w:color w:val="FFFFFF"/>
                <w:sz w:val="22"/>
                <w:szCs w:val="22"/>
              </w:rPr>
              <w:t xml:space="preserve">What still needs to be done</w:t>
            </w:r>
          </w:p>
        </w:tc>
      </w:tr>
      <w:tr>
        <w:tc>
          <w:tcPr>
            <w:tcW w:type="dxa" w:w="4680"/>
            <w:tcBorders>
              <w:top w:val="single" w:color="BBBBBB" w:sz="4"/>
              <w:left w:val="single" w:color="BBBBBB" w:sz="4"/>
              <w:bottom w:val="single" w:color="BBBBBB" w:sz="4"/>
              <w:right w:val="single" w:color="BBBBBB" w:sz="4"/>
            </w:tcBorders>
            <w:shd w:fill="E2EFDA" w:val="clear"/>
            <w:tcMar>
              <w:top w:type="dxa" w:w="100"/>
              <w:left w:type="dxa" w:w="160"/>
              <w:bottom w:type="dxa" w:w="100"/>
              <w:right w:type="dxa" w:w="160"/>
            </w:tcMar>
          </w:tcPr>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BAQ with InvcHead, OrderHed, ShipTo joined</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ShipTo_State and ShipTo_Name pulling correctly</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SSRS page header (company name, title, date, page numbers)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Basic RDL framework in place</w:t>
            </w:r>
          </w:p>
        </w:tc>
        <w:tc>
          <w:tcPr>
            <w:tcW w:type="dxa" w:w="4680"/>
            <w:tcBorders>
              <w:top w:val="single" w:color="BBBBBB" w:sz="4"/>
              <w:left w:val="single" w:color="BBBBBB" w:sz="4"/>
              <w:bottom w:val="single" w:color="BBBBBB" w:sz="4"/>
              <w:right w:val="single" w:color="BBBBBB" w:sz="4"/>
            </w:tcBorders>
            <w:shd w:fill="FCE4D6" w:val="clear"/>
            <w:tcMar>
              <w:top w:type="dxa" w:w="100"/>
              <w:left w:type="dxa" w:w="160"/>
              <w:bottom w:type="dxa" w:w="100"/>
              <w:right w:type="dxa" w:w="160"/>
            </w:tcMar>
          </w:tcPr>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Fix join types to keep all invoices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Add Customer table for proper customer ID</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Exclude tax from the value field</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Add calculated Invoice Type label</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Add date range filter</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Build the report body (data table) in SSRS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Add state subtotals</w:t>
            </w:r>
          </w:p>
        </w:tc>
      </w:tr>
    </w:tbl>
    <w:p>
      <w:r>
        <w:br w:type="page"/>
      </w:r>
    </w:p>
    <w:p>
      <w:pPr>
        <w:pStyle w:val="Heading1"/>
      </w:pPr>
      <w:r>
        <w:rPr>
          <w:rFonts w:ascii="Arial" w:cs="Arial" w:eastAsia="Arial" w:hAnsi="Arial"/>
          <w:b/>
          <w:bCs/>
          <w:color w:val="1F4E79"/>
          <w:sz w:val="32"/>
          <w:szCs w:val="32"/>
        </w:rPr>
        <w:t xml:space="preserve">Section 1: Understanding Join Types in Kinetic</w:t>
      </w:r>
    </w:p>
    <w:p>
      <w:pPr>
        <w:pBdr>
          <w:bottom w:val="single" w:color="2E75B6" w:sz="8" w:space="1"/>
        </w:pBdr>
        <w:spacing w:before="0" w:after="120"/>
      </w:pPr>
    </w:p>
    <w:p>
      <w:pPr>
        <w:spacing w:before="60" w:after="100"/>
      </w:pPr>
      <w:r>
        <w:rPr>
          <w:rFonts w:ascii="Arial" w:cs="Arial" w:eastAsia="Arial" w:hAnsi="Arial"/>
          <w:sz w:val="22"/>
          <w:szCs w:val="22"/>
        </w:rPr>
        <w:t xml:space="preserve">Before changing anything in the BAQ, it helps to understand what the join type options mean and why they matter for this report.</w:t>
      </w:r>
    </w:p>
    <w:p>
      <w:pPr>
        <w:spacing w:before="60" w:after="100"/>
      </w:pPr>
      <w:r>
        <w:rPr>
          <w:rFonts w:ascii="Arial" w:cs="Arial" w:eastAsia="Arial" w:hAnsi="Arial"/>
          <w:sz w:val="22"/>
          <w:szCs w:val="22"/>
        </w:rPr>
        <w:t xml:space="preserve">When you join two tables in a BAQ, you are telling Kinetic how to handle rows where there is no match between the two tables. The four options Kinetic shows you are: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Kinetic Option</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SQL Term</w:t>
            </w:r>
          </w:p>
        </w:tc>
        <w:tc>
          <w:tcPr>
            <w:tcW w:type="dxa" w:w="4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Matching rows from A and B</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INNER JOIN</w:t>
            </w:r>
          </w:p>
        </w:tc>
        <w:tc>
          <w:tcPr>
            <w:tcW w:type="dxa" w:w="416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tcPr>
          <w:p>
            <w:r>
              <w:rPr>
                <w:rFonts w:ascii="Arial" w:cs="Arial" w:eastAsia="Arial" w:hAnsi="Arial"/>
                <w:sz w:val="20"/>
                <w:szCs w:val="20"/>
              </w:rPr>
              <w:t xml:space="preserve">Only rows that exist in BOTH tables. If an invoice has no matching order, it disappears from results.</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All rows from 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LEFT OUTER</w:t>
            </w:r>
          </w:p>
        </w:tc>
        <w:tc>
          <w:tcPr>
            <w:tcW w:type="dxa" w:w="416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tcPr>
          <w:p>
            <w:r>
              <w:rPr>
                <w:rFonts w:ascii="Arial" w:cs="Arial" w:eastAsia="Arial" w:hAnsi="Arial"/>
                <w:sz w:val="20"/>
                <w:szCs w:val="20"/>
              </w:rPr>
              <w:t xml:space="preserve">Keep ALL rows from Table A, even if there is no match in Table B. This is what we want.</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color w:val="888888"/>
                <w:sz w:val="20"/>
                <w:szCs w:val="20"/>
              </w:rPr>
              <w:t xml:space="preserve">All rows from B</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888888"/>
                <w:sz w:val="18"/>
                <w:szCs w:val="18"/>
              </w:rPr>
              <w:t xml:space="preserve">RIGHT OUTER</w:t>
            </w:r>
          </w:p>
        </w:tc>
        <w:tc>
          <w:tcPr>
            <w:tcW w:type="dxa" w:w="41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color w:val="888888"/>
                <w:sz w:val="20"/>
                <w:szCs w:val="20"/>
              </w:rPr>
              <w:t xml:space="preserve">Keep all rows from Table B. Not needed here.</w:t>
            </w:r>
          </w:p>
        </w:tc>
      </w:tr>
      <w:tr>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color w:val="888888"/>
                <w:sz w:val="20"/>
                <w:szCs w:val="20"/>
              </w:rPr>
              <w:t xml:space="preserve">All rows from A and B</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888888"/>
                <w:sz w:val="18"/>
                <w:szCs w:val="18"/>
              </w:rPr>
              <w:t xml:space="preserve">FULL OUTER</w:t>
            </w:r>
          </w:p>
        </w:tc>
        <w:tc>
          <w:tcPr>
            <w:tcW w:type="dxa" w:w="41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color w:val="888888"/>
                <w:sz w:val="20"/>
                <w:szCs w:val="20"/>
              </w:rPr>
              <w:t xml:space="preserve">Keep all rows from both tables regardless of match. Not needed here.</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before="40" w:after="40"/>
            </w:pPr>
            <w:r>
              <w:rPr>
                <w:rFonts w:ascii="Arial" w:cs="Arial" w:eastAsia="Arial" w:hAnsi="Arial"/>
                <w:b/>
                <w:bCs/>
                <w:color w:val="1F4E79"/>
                <w:sz w:val="22"/>
                <w:szCs w:val="22"/>
              </w:rPr>
              <w:t xml:space="preserve">WHY THIS MATTERS:  </w:t>
            </w:r>
            <w:r>
              <w:rPr>
                <w:rFonts w:ascii="Arial" w:cs="Arial" w:eastAsia="Arial" w:hAnsi="Arial"/>
                <w:sz w:val="20"/>
                <w:szCs w:val="20"/>
              </w:rPr>
              <w:t xml:space="preserve">Credit memos and debit memos are sometimes created in Kinetic without a linked sales order (OrderNum = 0). If your joins are set to "Matching rows from A and B", those invoices will silently disappear from your report results — you won't get an error, they just won't show up. Setting the joins to "All rows from [primary table]" ensures every invoice appears, even if there is no matching order or ship-to record.</w:t>
            </w:r>
          </w:p>
        </w:tc>
      </w:tr>
    </w:tbl>
    <w:p>
      <w:r>
        <w:br w:type="page"/>
      </w:r>
    </w:p>
    <w:p>
      <w:pPr>
        <w:pStyle w:val="Heading1"/>
      </w:pPr>
      <w:r>
        <w:rPr>
          <w:rFonts w:ascii="Arial" w:cs="Arial" w:eastAsia="Arial" w:hAnsi="Arial"/>
          <w:b/>
          <w:bCs/>
          <w:color w:val="1F4E79"/>
          <w:sz w:val="32"/>
          <w:szCs w:val="32"/>
        </w:rPr>
        <w:t xml:space="preserve">Section 2: BAQ Changes</w:t>
      </w:r>
    </w:p>
    <w:p>
      <w:pPr>
        <w:pBdr>
          <w:bottom w:val="single" w:color="2E75B6" w:sz="8" w:space="1"/>
        </w:pBdr>
        <w:spacing w:before="0" w:after="120"/>
      </w:pPr>
    </w:p>
    <w:p>
      <w:pPr>
        <w:spacing w:before="60" w:after="100"/>
      </w:pPr>
      <w:r>
        <w:rPr>
          <w:rFonts w:ascii="Arial" w:cs="Arial" w:eastAsia="Arial" w:hAnsi="Arial"/>
          <w:sz w:val="22"/>
          <w:szCs w:val="22"/>
        </w:rPr>
        <w:t xml:space="preserve">Do all of these steps inside your existing BAQ in Kinetic. Open the BAQ in the BAQ Designer (available in both the web/Kinetic interface and the classic client). Make changes in order — Steps 1 through 6 — and do not save and publish until Step 6 tells you to.</w:t>
      </w:r>
    </w:p>
    <w:p>
      <w:pPr>
        <w:spacing w:before="160" w:after="0"/>
      </w:pPr>
    </w:p>
    <w:p>
      <w:pPr>
        <w:spacing w:before="200" w:after="80"/>
      </w:pPr>
      <w:r>
        <w:rPr>
          <w:rFonts w:ascii="Arial" w:cs="Arial" w:eastAsia="Arial" w:hAnsi="Arial"/>
          <w:b/>
          <w:bCs/>
          <w:color w:val="2E75B6"/>
          <w:sz w:val="24"/>
          <w:szCs w:val="24"/>
        </w:rPr>
        <w:t xml:space="preserve">Step 1: </w:t>
      </w:r>
      <w:r>
        <w:rPr>
          <w:rFonts w:ascii="Arial" w:cs="Arial" w:eastAsia="Arial" w:hAnsi="Arial"/>
          <w:b/>
          <w:bCs/>
          <w:color w:val="000000"/>
          <w:sz w:val="24"/>
          <w:szCs w:val="24"/>
        </w:rPr>
        <w:t xml:space="preserve">Fix the Join Types</w:t>
      </w:r>
    </w:p>
    <w:p>
      <w:pPr>
        <w:spacing w:before="60" w:after="100"/>
      </w:pPr>
      <w:r>
        <w:rPr>
          <w:rFonts w:ascii="Arial" w:cs="Arial" w:eastAsia="Arial" w:hAnsi="Arial"/>
          <w:sz w:val="22"/>
          <w:szCs w:val="22"/>
        </w:rPr>
        <w:t xml:space="preserve">You currently have two joins in your BAQ: InvcHead to OrderHed, and OrderHed to ShipTo. You need to check both and update them.</w:t>
      </w:r>
    </w:p>
    <w:p>
      <w:pPr>
        <w:spacing w:before="80" w:after="40"/>
      </w:pPr>
      <w:r>
        <w:rPr>
          <w:rFonts w:ascii="Arial" w:cs="Arial" w:eastAsia="Arial" w:hAnsi="Arial"/>
          <w:b/>
          <w:bCs/>
          <w:sz w:val="22"/>
          <w:szCs w:val="22"/>
        </w:rPr>
        <w:t xml:space="preserve">Join 1: InvcHead to OrderHed</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In the BAQ Designer, click on the join between InvcHead and OrderHed (the line connecting the two tables).</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Look for the dropdown that controls the join type.</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Change it to: "All rows from InvcHead"</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This means: show all invoices, even if there is no matching order number. An invoice without an order will show blanks in the OrderHed columns, but it will still appear in the report.</w:t>
      </w:r>
    </w:p>
    <w:p>
      <w:pPr>
        <w:spacing w:before="80" w:after="40"/>
      </w:pPr>
      <w:r>
        <w:rPr>
          <w:rFonts w:ascii="Arial" w:cs="Arial" w:eastAsia="Arial" w:hAnsi="Arial"/>
          <w:b/>
          <w:bCs/>
          <w:sz w:val="22"/>
          <w:szCs w:val="22"/>
        </w:rPr>
        <w:t xml:space="preserve">Join 2: OrderHed to ShipTo</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Click on the join between OrderHed and ShipTo.</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Change it to: "All rows from OrderHed"</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This means: show all order rows, even if there is no matching ship-to record.</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Note: Based on your screenshot, this join may already be set correctly. Confirm it and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before="40" w:after="40"/>
            </w:pPr>
            <w:r>
              <w:rPr>
                <w:rFonts w:ascii="Arial" w:cs="Arial" w:eastAsia="Arial" w:hAnsi="Arial"/>
                <w:b/>
                <w:bCs/>
                <w:color w:val="1F4E79"/>
                <w:sz w:val="22"/>
                <w:szCs w:val="22"/>
              </w:rPr>
              <w:t xml:space="preserve">TIP:  </w:t>
            </w:r>
            <w:r>
              <w:rPr>
                <w:rFonts w:ascii="Arial" w:cs="Arial" w:eastAsia="Arial" w:hAnsi="Arial"/>
                <w:sz w:val="20"/>
                <w:szCs w:val="20"/>
              </w:rPr>
              <w:t xml:space="preserve">After changing both joins, the ShipTo_State and ShipTo_Name columns may show blank for some records. That is expected and correct — it just means those invoices had no order or ship-to linked. You can review those records later to decide if they need cleanup.</w:t>
            </w:r>
          </w:p>
        </w:tc>
      </w:tr>
    </w:tbl>
    <w:p>
      <w:pPr>
        <w:spacing w:before="160" w:after="0"/>
      </w:pPr>
    </w:p>
    <w:p>
      <w:pPr>
        <w:spacing w:before="200" w:after="80"/>
      </w:pPr>
      <w:r>
        <w:rPr>
          <w:rFonts w:ascii="Arial" w:cs="Arial" w:eastAsia="Arial" w:hAnsi="Arial"/>
          <w:b/>
          <w:bCs/>
          <w:color w:val="2E75B6"/>
          <w:sz w:val="24"/>
          <w:szCs w:val="24"/>
        </w:rPr>
        <w:t xml:space="preserve">Step 2: </w:t>
      </w:r>
      <w:r>
        <w:rPr>
          <w:rFonts w:ascii="Arial" w:cs="Arial" w:eastAsia="Arial" w:hAnsi="Arial"/>
          <w:b/>
          <w:bCs/>
          <w:color w:val="000000"/>
          <w:sz w:val="24"/>
          <w:szCs w:val="24"/>
        </w:rPr>
        <w:t xml:space="preserve">Add the Customer Table</w:t>
      </w:r>
    </w:p>
    <w:p>
      <w:pPr>
        <w:spacing w:before="60" w:after="100"/>
      </w:pPr>
      <w:r>
        <w:rPr>
          <w:rFonts w:ascii="Arial" w:cs="Arial" w:eastAsia="Arial" w:hAnsi="Arial"/>
          <w:sz w:val="22"/>
          <w:szCs w:val="22"/>
        </w:rPr>
        <w:t xml:space="preserve">Right now your BAQ shows ShipTo_CustNum as an internal Kinetic number (like 4821). This is not the same as the customer number your team sees in the system. You need to add the Customer table to get the actual customer ID (like "COLESART" or "C-10043") — and potentially the legacy SAP number if your team mapped those during migration.</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In the BAQ Designer, click "Add Table" (or the equivalent button in your version).</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Search for and add the "Customer" table.</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Set the join conditions to: Customer.Company = InvcHead.Company AND Customer.CustNum = InvcHead.CustNum</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Set the join type to: "All rows from InvcHead" (same principle as Step 1 — keep all invoices even if Customer lookup fails).</w:t>
      </w:r>
    </w:p>
    <w:p>
      <w:pPr>
        <w:spacing w:before="60" w:after="60"/>
        <w:ind w:left="400"/>
      </w:pPr>
      <w:r>
        <w:rPr>
          <w:rFonts w:ascii="Arial" w:cs="Arial" w:eastAsia="Arial" w:hAnsi="Arial"/>
          <w:b/>
          <w:bCs/>
          <w:color w:val="2E75B6"/>
          <w:sz w:val="22"/>
          <w:szCs w:val="22"/>
        </w:rPr>
        <w:t xml:space="preserve">e.  </w:t>
      </w:r>
      <w:r>
        <w:rPr>
          <w:rFonts w:ascii="Arial" w:cs="Arial" w:eastAsia="Arial" w:hAnsi="Arial"/>
          <w:sz w:val="22"/>
          <w:szCs w:val="22"/>
        </w:rPr>
        <w:t xml:space="preserve">From the Customer table, add these fields to your BAQ results:</w:t>
      </w:r>
    </w:p>
    <w:p>
      <w:pPr>
        <w:spacing w:before="40" w:after="40"/>
        <w:ind w:left="1000" w:hanging="280"/>
      </w:pPr>
      <w:r>
        <w:rPr>
          <w:rFonts w:ascii="Arial" w:cs="Arial" w:eastAsia="Arial" w:hAnsi="Arial"/>
          <w:color w:val="2E75B6"/>
          <w:sz w:val="22"/>
          <w:szCs w:val="22"/>
        </w:rPr>
        <w:t xml:space="preserve">•  </w:t>
      </w:r>
      <w:r>
        <w:rPr>
          <w:rFonts w:ascii="Arial" w:cs="Arial" w:eastAsia="Arial" w:hAnsi="Arial"/>
          <w:sz w:val="22"/>
          <w:szCs w:val="22"/>
        </w:rPr>
        <w:t xml:space="preserve">Customer.CustID — this is the alphanumeric customer code shown in the Kinetic UI</w:t>
      </w:r>
    </w:p>
    <w:p>
      <w:pPr>
        <w:spacing w:before="40" w:after="40"/>
        <w:ind w:left="1000" w:hanging="280"/>
      </w:pPr>
      <w:r>
        <w:rPr>
          <w:rFonts w:ascii="Arial" w:cs="Arial" w:eastAsia="Arial" w:hAnsi="Arial"/>
          <w:color w:val="2E75B6"/>
          <w:sz w:val="22"/>
          <w:szCs w:val="22"/>
        </w:rPr>
        <w:t xml:space="preserve">•  </w:t>
      </w:r>
      <w:r>
        <w:rPr>
          <w:rFonts w:ascii="Arial" w:cs="Arial" w:eastAsia="Arial" w:hAnsi="Arial"/>
          <w:sz w:val="22"/>
          <w:szCs w:val="22"/>
        </w:rPr>
        <w:t xml:space="preserve">Customer.LegacyCustomerSAPNum_c — this custom field stores the original SAP customer number. Your team may want this shown on the report instead of, or alongside, CustID to match the SAP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00" w:sz="4"/>
              <w:left w:val="single" w:color="F0C000" w:sz="4"/>
              <w:bottom w:val="single" w:color="F0C000" w:sz="4"/>
              <w:right w:val="single" w:color="F0C000" w:sz="4"/>
            </w:tcBorders>
            <w:shd w:fill="FFF2CC" w:val="clear"/>
            <w:tcMar>
              <w:top w:type="dxa" w:w="80"/>
              <w:left w:type="dxa" w:w="160"/>
              <w:bottom w:type="dxa" w:w="80"/>
              <w:right w:type="dxa" w:w="160"/>
            </w:tcMar>
          </w:tcPr>
          <w:p>
            <w:pPr>
              <w:spacing w:before="40" w:after="40"/>
            </w:pPr>
            <w:r>
              <w:rPr>
                <w:rFonts w:ascii="Arial" w:cs="Arial" w:eastAsia="Arial" w:hAnsi="Arial"/>
                <w:b/>
                <w:bCs/>
                <w:color w:val="664400"/>
                <w:sz w:val="22"/>
                <w:szCs w:val="22"/>
              </w:rPr>
              <w:t xml:space="preserve">NOTE:  </w:t>
            </w:r>
            <w:r>
              <w:rPr>
                <w:rFonts w:ascii="Arial" w:cs="Arial" w:eastAsia="Arial" w:hAnsi="Arial"/>
                <w:sz w:val="20"/>
                <w:szCs w:val="20"/>
              </w:rPr>
              <w:t xml:space="preserve">LegacyCustomerSAPNum_c is a custom field (the _c suffix means it was added during your implementation, not part of standard Kinetic). If it is blank for most records, your migration team may not have populated it yet. Check with your team whether this field was used.</w:t>
            </w:r>
          </w:p>
        </w:tc>
      </w:tr>
    </w:tbl>
    <w:p>
      <w:pPr>
        <w:spacing w:before="160" w:after="0"/>
      </w:pPr>
    </w:p>
    <w:p>
      <w:pPr>
        <w:spacing w:before="200" w:after="80"/>
      </w:pPr>
      <w:r>
        <w:rPr>
          <w:rFonts w:ascii="Arial" w:cs="Arial" w:eastAsia="Arial" w:hAnsi="Arial"/>
          <w:b/>
          <w:bCs/>
          <w:color w:val="2E75B6"/>
          <w:sz w:val="24"/>
          <w:szCs w:val="24"/>
        </w:rPr>
        <w:t xml:space="preserve">Step 3: </w:t>
      </w:r>
      <w:r>
        <w:rPr>
          <w:rFonts w:ascii="Arial" w:cs="Arial" w:eastAsia="Arial" w:hAnsi="Arial"/>
          <w:b/>
          <w:bCs/>
          <w:color w:val="000000"/>
          <w:sz w:val="24"/>
          <w:szCs w:val="24"/>
        </w:rPr>
        <w:t xml:space="preserve">Add Missing InvcHead Fields</w:t>
      </w:r>
    </w:p>
    <w:p>
      <w:pPr>
        <w:spacing w:before="60" w:after="100"/>
      </w:pPr>
      <w:r>
        <w:rPr>
          <w:rFonts w:ascii="Arial" w:cs="Arial" w:eastAsia="Arial" w:hAnsi="Arial"/>
          <w:sz w:val="22"/>
          <w:szCs w:val="22"/>
        </w:rPr>
        <w:t xml:space="preserve">You need to add several more fields from InvcHead that are not in your BAQ yet. These fields are needed either for the calculated fields in Step 4, or to identify invoice types correctly.</w:t>
      </w:r>
    </w:p>
    <w:p>
      <w:pPr>
        <w:spacing w:before="60" w:after="100"/>
      </w:pPr>
      <w:r>
        <w:rPr>
          <w:rFonts w:ascii="Arial" w:cs="Arial" w:eastAsia="Arial" w:hAnsi="Arial"/>
          <w:sz w:val="22"/>
          <w:szCs w:val="22"/>
        </w:rPr>
        <w:t xml:space="preserve">In the BAQ Designer, locate the InvcHead table and add each of the following fields to your selected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6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DocTaxAmt</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The tax amount on the invoice in document currency. You will subtract this from DocInvoiceAmt to get the net value (excluding tax), matching how SAP's NETWR worked.</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CreditMemo</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20"/>
                <w:szCs w:val="20"/>
              </w:rPr>
              <w:t xml:space="preserve">A true/false flag. When true, this invoice is a credit memo. Used in the invoice type label calculation.</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DebitNote</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A true/false flag. When true, this invoice is a debit memo. Used in the invoice type label calculation.</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RMANum</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20"/>
                <w:szCs w:val="20"/>
              </w:rPr>
              <w:t xml:space="preserve">The Return Merchandise Authorization number. If this is populated (greater than zero), the credit memo is specifically for a product return. Used to distinguish Return Credits from regular Credit Memos.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RefCancelled</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If this field contains a number, the current invoice IS a cancellation document — it reversed the invoice number stored in this field. This is the equivalent of SAP's S1 document type.</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RefCancelledBy</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20"/>
                <w:szCs w:val="20"/>
              </w:rPr>
              <w:t xml:space="preserve">If this field contains a number, the current invoice WAS cancelled — it was reversed by the invoice number stored in this field. The original invoice still exists in the system.</w:t>
            </w:r>
          </w:p>
        </w:tc>
      </w:tr>
    </w:tbl>
    <w:p>
      <w:pPr>
        <w:spacing w:before="160" w:after="0"/>
      </w:pPr>
    </w:p>
    <w:p>
      <w:pPr>
        <w:spacing w:before="200" w:after="80"/>
      </w:pPr>
      <w:r>
        <w:rPr>
          <w:rFonts w:ascii="Arial" w:cs="Arial" w:eastAsia="Arial" w:hAnsi="Arial"/>
          <w:b/>
          <w:bCs/>
          <w:color w:val="2E75B6"/>
          <w:sz w:val="24"/>
          <w:szCs w:val="24"/>
        </w:rPr>
        <w:t xml:space="preserve">Step 4: </w:t>
      </w:r>
      <w:r>
        <w:rPr>
          <w:rFonts w:ascii="Arial" w:cs="Arial" w:eastAsia="Arial" w:hAnsi="Arial"/>
          <w:b/>
          <w:bCs/>
          <w:color w:val="000000"/>
          <w:sz w:val="24"/>
          <w:szCs w:val="24"/>
        </w:rPr>
        <w:t xml:space="preserve">Add Calculated Fields</w:t>
      </w:r>
    </w:p>
    <w:p>
      <w:pPr>
        <w:spacing w:before="60" w:after="100"/>
      </w:pPr>
      <w:r>
        <w:rPr>
          <w:rFonts w:ascii="Arial" w:cs="Arial" w:eastAsia="Arial" w:hAnsi="Arial"/>
          <w:sz w:val="22"/>
          <w:szCs w:val="22"/>
        </w:rPr>
        <w:t xml:space="preserve">Calculated fields let you create a new column based on logic or math applied to existing fields. You need two calculated fields for this report.</w:t>
      </w:r>
    </w:p>
    <w:p>
      <w:pPr>
        <w:spacing w:before="120" w:after="60"/>
      </w:pPr>
      <w:r>
        <w:rPr>
          <w:rFonts w:ascii="Arial" w:cs="Arial" w:eastAsia="Arial" w:hAnsi="Arial"/>
          <w:b/>
          <w:bCs/>
          <w:sz w:val="22"/>
          <w:szCs w:val="22"/>
        </w:rPr>
        <w:t xml:space="preserve">Calculated Field 1: Calculated_NetValue</w:t>
      </w:r>
    </w:p>
    <w:p>
      <w:pPr>
        <w:spacing w:before="60" w:after="100"/>
      </w:pPr>
      <w:r>
        <w:rPr>
          <w:rFonts w:ascii="Arial" w:cs="Arial" w:eastAsia="Arial" w:hAnsi="Arial"/>
          <w:sz w:val="22"/>
          <w:szCs w:val="22"/>
        </w:rPr>
        <w:t xml:space="preserve">This is the net invoice value excluding tax — the equivalent of SAP's NETWR.</w:t>
      </w:r>
    </w:p>
    <w:p>
      <w:pPr>
        <w:spacing w:before="60" w:after="100"/>
      </w:pPr>
      <w:r>
        <w:rPr>
          <w:rFonts w:ascii="Arial" w:cs="Arial" w:eastAsia="Arial" w:hAnsi="Arial"/>
          <w:sz w:val="22"/>
          <w:szCs w:val="22"/>
        </w:rPr>
        <w:t xml:space="preserve">In the BAQ Designer, go to the Calculated Fields section and add a new field. Name it Calculated_NetValue. Enter this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InvcHead_DocInvoiceAmt - InvcHead_DocTaxAmt</w:t>
            </w:r>
          </w:p>
        </w:tc>
      </w:tr>
    </w:tbl>
    <w:p>
      <w:pPr>
        <w:spacing w:before="60" w:after="100"/>
      </w:pPr>
      <w:r>
        <w:rPr>
          <w:rFonts w:ascii="Arial" w:cs="Arial" w:eastAsia="Arial" w:hAnsi="Arial"/>
          <w:sz w:val="22"/>
          <w:szCs w:val="22"/>
        </w:rPr>
        <w:t xml:space="preserve">Set the data type to Decimal. This field is what your SSRS report will use for the Value column — not DocInvoiceAmt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00" w:sz="4"/>
              <w:left w:val="single" w:color="F0C000" w:sz="4"/>
              <w:bottom w:val="single" w:color="F0C000" w:sz="4"/>
              <w:right w:val="single" w:color="F0C000" w:sz="4"/>
            </w:tcBorders>
            <w:shd w:fill="FFF2CC" w:val="clear"/>
            <w:tcMar>
              <w:top w:type="dxa" w:w="80"/>
              <w:left w:type="dxa" w:w="160"/>
              <w:bottom w:type="dxa" w:w="80"/>
              <w:right w:type="dxa" w:w="160"/>
            </w:tcMar>
          </w:tcPr>
          <w:p>
            <w:pPr>
              <w:spacing w:before="40" w:after="40"/>
            </w:pPr>
            <w:r>
              <w:rPr>
                <w:rFonts w:ascii="Arial" w:cs="Arial" w:eastAsia="Arial" w:hAnsi="Arial"/>
                <w:b/>
                <w:bCs/>
                <w:color w:val="664400"/>
                <w:sz w:val="22"/>
                <w:szCs w:val="22"/>
              </w:rPr>
              <w:t xml:space="preserve">FREIGHT NOTE:  </w:t>
            </w:r>
            <w:r>
              <w:rPr>
                <w:rFonts w:ascii="Arial" w:cs="Arial" w:eastAsia="Arial" w:hAnsi="Arial"/>
                <w:sz w:val="20"/>
                <w:szCs w:val="20"/>
              </w:rPr>
              <w:t xml:space="preserve">DocInvoiceAmt typically includes freight in Kinetic, which matches how SAP's NETWR worked (freight was a pricing condition baked into the net value). If you find after testing that freight needs to be excluded, you can change the expression to: InvcHead_DocInvoiceAmt - InvcHead_DocTaxAmt - InvcHead_DocFreight. Verify against a known invoice first.</w:t>
            </w:r>
          </w:p>
        </w:tc>
      </w:tr>
    </w:tbl>
    <w:p>
      <w:pPr>
        <w:spacing w:before="120" w:after="60"/>
      </w:pPr>
      <w:r>
        <w:rPr>
          <w:rFonts w:ascii="Arial" w:cs="Arial" w:eastAsia="Arial" w:hAnsi="Arial"/>
          <w:b/>
          <w:bCs/>
          <w:sz w:val="22"/>
          <w:szCs w:val="22"/>
        </w:rPr>
        <w:t xml:space="preserve">Calculated Field 2: Calculated_InvoiceTypeLabel</w:t>
      </w:r>
    </w:p>
    <w:p>
      <w:pPr>
        <w:spacing w:before="60" w:after="100"/>
      </w:pPr>
      <w:r>
        <w:rPr>
          <w:rFonts w:ascii="Arial" w:cs="Arial" w:eastAsia="Arial" w:hAnsi="Arial"/>
          <w:sz w:val="22"/>
          <w:szCs w:val="22"/>
        </w:rPr>
        <w:t xml:space="preserve">This creates a readable label for the invoice type column — the equivalent of SAP's FKART field with the five document types. Name this field Calculated_InvoiceTypeLabel and use this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CASE</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WHEN InvcHead_RefCancelled &gt; 0 THEN 'Cancellation'</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WHEN InvcHead_RefCancelledBy &gt; 0 THEN 'Invoice (Cancelled)'</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WHEN InvcHead_CreditMemo = 1 AND InvcHead_RMANum &gt; 0 THEN 'Return Credit'</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WHEN InvcHead_CreditMemo = 1 THEN 'Credit Memo'</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WHEN InvcHead_DebitNote = 1 THEN 'Debit Memo'</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ELSE 'Invoice'</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END</w:t>
            </w:r>
          </w:p>
        </w:tc>
      </w:tr>
    </w:tbl>
    <w:p>
      <w:pPr>
        <w:spacing w:before="60" w:after="100"/>
      </w:pPr>
      <w:r>
        <w:rPr>
          <w:rFonts w:ascii="Arial" w:cs="Arial" w:eastAsia="Arial" w:hAnsi="Arial"/>
          <w:sz w:val="22"/>
          <w:szCs w:val="22"/>
        </w:rPr>
        <w:t xml:space="preserve">The order of the CASE conditions matters. Kinetic evaluates them top to bottom and stops at the first match. RefCancelled is checked first because a cancelled document might also have CreditMemo = true, and we want it labelled as Cancellation, not Credit Memo.</w:t>
      </w:r>
    </w:p>
    <w:p>
      <w:pPr>
        <w:spacing w:before="160" w:after="0"/>
      </w:pPr>
    </w:p>
    <w:p>
      <w:pPr>
        <w:spacing w:before="200" w:after="80"/>
      </w:pPr>
      <w:r>
        <w:rPr>
          <w:rFonts w:ascii="Arial" w:cs="Arial" w:eastAsia="Arial" w:hAnsi="Arial"/>
          <w:b/>
          <w:bCs/>
          <w:color w:val="2E75B6"/>
          <w:sz w:val="24"/>
          <w:szCs w:val="24"/>
        </w:rPr>
        <w:t xml:space="preserve">Step 5: </w:t>
      </w:r>
      <w:r>
        <w:rPr>
          <w:rFonts w:ascii="Arial" w:cs="Arial" w:eastAsia="Arial" w:hAnsi="Arial"/>
          <w:b/>
          <w:bCs/>
          <w:color w:val="000000"/>
          <w:sz w:val="24"/>
          <w:szCs w:val="24"/>
        </w:rPr>
        <w:t xml:space="preserve">Add a Date Range Filter</w:t>
      </w:r>
    </w:p>
    <w:p>
      <w:pPr>
        <w:spacing w:before="60" w:after="100"/>
      </w:pPr>
      <w:r>
        <w:rPr>
          <w:rFonts w:ascii="Arial" w:cs="Arial" w:eastAsia="Arial" w:hAnsi="Arial"/>
          <w:sz w:val="22"/>
          <w:szCs w:val="22"/>
        </w:rPr>
        <w:t xml:space="preserve">Your report needs a way to filter by invoice date when it is run, just like SAP's S_DATUM date range selection. This is done by adding criteria to the BAQ.</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In the BAQ Designer, go to the Criteria (or Filter) section.</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Add a criterion on InvcHead.InvoiceDate.</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Set it to a "Between" or "Greater than or equal to / Less than or equal to" range.</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Mark both values as "Ask at Runtime" or "Parameter" — this is what makes the date range appear as a prompt when the report is run.</w:t>
      </w:r>
    </w:p>
    <w:p>
      <w:pPr>
        <w:spacing w:before="60" w:after="60"/>
        <w:ind w:left="400"/>
      </w:pPr>
      <w:r>
        <w:rPr>
          <w:rFonts w:ascii="Arial" w:cs="Arial" w:eastAsia="Arial" w:hAnsi="Arial"/>
          <w:b/>
          <w:bCs/>
          <w:color w:val="2E75B6"/>
          <w:sz w:val="22"/>
          <w:szCs w:val="22"/>
        </w:rPr>
        <w:t xml:space="preserve">e.  </w:t>
      </w:r>
      <w:r>
        <w:rPr>
          <w:rFonts w:ascii="Arial" w:cs="Arial" w:eastAsia="Arial" w:hAnsi="Arial"/>
          <w:sz w:val="22"/>
          <w:szCs w:val="22"/>
        </w:rPr>
        <w:t xml:space="preserve">The parameter names will typically be something like Date01 and Date02 in the BAQReportParameter table — these correspond to the date fields already in your RDL.</w:t>
      </w:r>
    </w:p>
    <w:p>
      <w:pPr>
        <w:spacing w:before="160" w:after="0"/>
      </w:pPr>
    </w:p>
    <w:p>
      <w:pPr>
        <w:spacing w:before="200" w:after="80"/>
      </w:pPr>
      <w:r>
        <w:rPr>
          <w:rFonts w:ascii="Arial" w:cs="Arial" w:eastAsia="Arial" w:hAnsi="Arial"/>
          <w:b/>
          <w:bCs/>
          <w:color w:val="2E75B6"/>
          <w:sz w:val="24"/>
          <w:szCs w:val="24"/>
        </w:rPr>
        <w:t xml:space="preserve">Step 6: </w:t>
      </w:r>
      <w:r>
        <w:rPr>
          <w:rFonts w:ascii="Arial" w:cs="Arial" w:eastAsia="Arial" w:hAnsi="Arial"/>
          <w:b/>
          <w:bCs/>
          <w:color w:val="000000"/>
          <w:sz w:val="24"/>
          <w:szCs w:val="24"/>
        </w:rPr>
        <w:t xml:space="preserve">Validate and Publish the BAQ</w:t>
      </w:r>
    </w:p>
    <w:p>
      <w:pPr>
        <w:spacing w:before="60" w:after="100"/>
      </w:pPr>
      <w:r>
        <w:rPr>
          <w:rFonts w:ascii="Arial" w:cs="Arial" w:eastAsia="Arial" w:hAnsi="Arial"/>
          <w:sz w:val="22"/>
          <w:szCs w:val="22"/>
        </w:rPr>
        <w:t xml:space="preserve">Before saving and publishing, do a quick test run inside the BAQ Designer using a date range you have SAP data for — December 2025 works since you have that sample file.</w:t>
      </w:r>
    </w:p>
    <w:p>
      <w:pPr>
        <w:spacing w:before="80" w:after="40"/>
      </w:pPr>
      <w:r>
        <w:rPr>
          <w:rFonts w:ascii="Arial" w:cs="Arial" w:eastAsia="Arial" w:hAnsi="Arial"/>
          <w:b/>
          <w:bCs/>
          <w:sz w:val="22"/>
          <w:szCs w:val="22"/>
        </w:rPr>
        <w:t xml:space="preserve">Check these things: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Does Calculated_NetValue match the Value column in your SAP export for the same invoices?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Are credit memos showing as negative values already? (Kinetic usually stores them negative, unlike SAP which required a sign flip.)</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Do all five invoice type labels appear? (Invoice, Credit Memo, Debit Memo, Return Credit, Cancellation)</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Are there any unexpected blank rows or duplicates?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Do the record counts look reasonable compared to your SAP export?</w:t>
      </w:r>
    </w:p>
    <w:p>
      <w:pPr>
        <w:spacing w:before="60" w:after="100"/>
      </w:pPr>
      <w:r>
        <w:rPr>
          <w:rFonts w:ascii="Arial" w:cs="Arial" w:eastAsia="Arial" w:hAnsi="Arial"/>
          <w:sz w:val="22"/>
          <w:szCs w:val="22"/>
        </w:rPr>
        <w:t xml:space="preserve">Once the results look correct, save and publish the BAQ. This makes it available to the SSRS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before="40" w:after="40"/>
            </w:pPr>
            <w:r>
              <w:rPr>
                <w:rFonts w:ascii="Arial" w:cs="Arial" w:eastAsia="Arial" w:hAnsi="Arial"/>
                <w:b/>
                <w:bCs/>
                <w:color w:val="1F4E79"/>
                <w:sz w:val="22"/>
                <w:szCs w:val="22"/>
              </w:rPr>
              <w:t xml:space="preserve">IMPORTANT:  </w:t>
            </w:r>
            <w:r>
              <w:rPr>
                <w:rFonts w:ascii="Arial" w:cs="Arial" w:eastAsia="Arial" w:hAnsi="Arial"/>
                <w:sz w:val="20"/>
                <w:szCs w:val="20"/>
              </w:rPr>
              <w:t xml:space="preserve">Do not move to Section 3 until the BAQ results look correct. Everything in the SSRS report depends on the BAQ data being right. It is much easier to fix data issues in the BAQ than to chase them through Report Builder.</w:t>
            </w:r>
          </w:p>
        </w:tc>
      </w:tr>
    </w:tbl>
    <w:p>
      <w:r>
        <w:br w:type="page"/>
      </w:r>
    </w:p>
    <w:p>
      <w:pPr>
        <w:pStyle w:val="Heading1"/>
      </w:pPr>
      <w:r>
        <w:rPr>
          <w:rFonts w:ascii="Arial" w:cs="Arial" w:eastAsia="Arial" w:hAnsi="Arial"/>
          <w:b/>
          <w:bCs/>
          <w:color w:val="1F4E79"/>
          <w:sz w:val="32"/>
          <w:szCs w:val="32"/>
        </w:rPr>
        <w:t xml:space="preserve">Section 3: Update the RDL Dataset in Report Builder</w:t>
      </w:r>
    </w:p>
    <w:p>
      <w:pPr>
        <w:pBdr>
          <w:bottom w:val="single" w:color="2E75B6" w:sz="8" w:space="1"/>
        </w:pBdr>
        <w:spacing w:before="0" w:after="120"/>
      </w:pPr>
    </w:p>
    <w:p>
      <w:pPr>
        <w:spacing w:before="60" w:after="100"/>
      </w:pPr>
      <w:r>
        <w:rPr>
          <w:rFonts w:ascii="Arial" w:cs="Arial" w:eastAsia="Arial" w:hAnsi="Arial"/>
          <w:sz w:val="22"/>
          <w:szCs w:val="22"/>
        </w:rPr>
        <w:t xml:space="preserve">Your existing RDL file already has the correct structure — a data source connected to Kinetic, and a BAQReportResult dataset. You need to update the dataset to reflect the new fields from your updated BAQ, then refresh so Report Builder knows about them.</w:t>
      </w:r>
    </w:p>
    <w:p>
      <w:pPr>
        <w:spacing w:before="200" w:after="80"/>
      </w:pPr>
      <w:r>
        <w:rPr>
          <w:rFonts w:ascii="Arial" w:cs="Arial" w:eastAsia="Arial" w:hAnsi="Arial"/>
          <w:b/>
          <w:bCs/>
          <w:color w:val="2E75B6"/>
          <w:sz w:val="24"/>
          <w:szCs w:val="24"/>
        </w:rPr>
        <w:t xml:space="preserve">Step 1: </w:t>
      </w:r>
      <w:r>
        <w:rPr>
          <w:rFonts w:ascii="Arial" w:cs="Arial" w:eastAsia="Arial" w:hAnsi="Arial"/>
          <w:b/>
          <w:bCs/>
          <w:color w:val="000000"/>
          <w:sz w:val="24"/>
          <w:szCs w:val="24"/>
        </w:rPr>
        <w:t xml:space="preserve">Open the RDL in Report Builder</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Open Microsoft Report Builder.</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Open your InvByProvState.rdl file.</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You will see the Report Data panel on the left side. If it is not visible, go to View &gt; Report Data.</w:t>
      </w:r>
    </w:p>
    <w:p>
      <w:pPr>
        <w:spacing w:before="160" w:after="0"/>
      </w:pPr>
    </w:p>
    <w:p>
      <w:pPr>
        <w:spacing w:before="200" w:after="80"/>
      </w:pPr>
      <w:r>
        <w:rPr>
          <w:rFonts w:ascii="Arial" w:cs="Arial" w:eastAsia="Arial" w:hAnsi="Arial"/>
          <w:b/>
          <w:bCs/>
          <w:color w:val="2E75B6"/>
          <w:sz w:val="24"/>
          <w:szCs w:val="24"/>
        </w:rPr>
        <w:t xml:space="preserve">Step 2: </w:t>
      </w:r>
      <w:r>
        <w:rPr>
          <w:rFonts w:ascii="Arial" w:cs="Arial" w:eastAsia="Arial" w:hAnsi="Arial"/>
          <w:b/>
          <w:bCs/>
          <w:color w:val="000000"/>
          <w:sz w:val="24"/>
          <w:szCs w:val="24"/>
        </w:rPr>
        <w:t xml:space="preserve">Update the BAQReportResult Query</w:t>
      </w:r>
    </w:p>
    <w:p>
      <w:pPr>
        <w:spacing w:before="60" w:after="100"/>
      </w:pPr>
      <w:r>
        <w:rPr>
          <w:rFonts w:ascii="Arial" w:cs="Arial" w:eastAsia="Arial" w:hAnsi="Arial"/>
          <w:sz w:val="22"/>
          <w:szCs w:val="22"/>
        </w:rPr>
        <w:t xml:space="preserve">The BAQReportResult dataset is the one that contains your actual invoice data. Its SELECT statement needs to be updated to include the new fields.</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In the Report Data panel, expand Datasets and right-click BAQReportResult.</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Click Dataset Properties.</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You will see a query that starts with SELECT [ShipTo_State], [ShipTo_CustNum]... and ends with FROM dbo.[BAQReportResult_...</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Replace the SELECT column list with the following. Keep the FROM clause exactly as it is — only change the column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SELECT</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[ShipTo_State],</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[Customer_CustID],</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[ShipTo_Name],</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[Calculated_InvoiceTypeLabel],</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[InvcHead_InvoiceNum],</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[InvcHead_InvoiceDate],</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[Calculated_NetValue],</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  [InvcHead_CurrencyCode]</w:t>
            </w:r>
          </w:p>
        </w:tc>
      </w:tr>
      <w:tr>
        <w:tc>
          <w:tcPr>
            <w:tcW w:type="dxa" w:w="9360"/>
            <w:tcBorders>
              <w:top w:val="single" w:color="AAAAAA" w:sz="4"/>
              <w:left w:val="single" w:color="AAAAAA" w:sz="4"/>
              <w:bottom w:val="single" w:color="AAAAAA" w:sz="4"/>
              <w:right w:val="single" w:color="AAAAAA" w:sz="4"/>
            </w:tcBorders>
            <w:shd w:fill="F4F4F4" w:val="clear"/>
            <w:tcMar>
              <w:top w:type="dxa" w:w="40"/>
              <w:left w:type="dxa" w:w="160"/>
              <w:bottom w:type="dxa" w:w="40"/>
              <w:right w:type="dxa" w:w="160"/>
            </w:tcMar>
          </w:tcPr>
          <w:p>
            <w:pPr>
              <w:spacing w:before="30" w:after="30"/>
            </w:pPr>
            <w:r>
              <w:rPr>
                <w:rFonts w:ascii="Courier New" w:cs="Courier New" w:eastAsia="Courier New" w:hAnsi="Courier New"/>
                <w:color w:val="1F3864"/>
                <w:sz w:val="18"/>
                <w:szCs w:val="18"/>
              </w:rPr>
              <w:t xml:space="preserve">FROM dbo.[BAQReportResult_" + Parameters!TableGuid.Value + "]</w:t>
            </w:r>
          </w:p>
        </w:tc>
      </w:tr>
    </w:tbl>
    <w:p>
      <w:pPr>
        <w:spacing w:before="60" w:after="60"/>
        <w:ind w:left="400"/>
      </w:pPr>
      <w:r>
        <w:rPr>
          <w:rFonts w:ascii="Arial" w:cs="Arial" w:eastAsia="Arial" w:hAnsi="Arial"/>
          <w:b/>
          <w:bCs/>
          <w:color w:val="2E75B6"/>
          <w:sz w:val="22"/>
          <w:szCs w:val="22"/>
        </w:rPr>
        <w:t xml:space="preserve">e.  </w:t>
      </w:r>
      <w:r>
        <w:rPr>
          <w:rFonts w:ascii="Arial" w:cs="Arial" w:eastAsia="Arial" w:hAnsi="Arial"/>
          <w:sz w:val="22"/>
          <w:szCs w:val="22"/>
        </w:rPr>
        <w:t xml:space="preserve">Click OK to save.</w:t>
      </w:r>
    </w:p>
    <w:p>
      <w:pPr>
        <w:spacing w:before="160" w:after="0"/>
      </w:pPr>
    </w:p>
    <w:p>
      <w:pPr>
        <w:spacing w:before="200" w:after="80"/>
      </w:pPr>
      <w:r>
        <w:rPr>
          <w:rFonts w:ascii="Arial" w:cs="Arial" w:eastAsia="Arial" w:hAnsi="Arial"/>
          <w:b/>
          <w:bCs/>
          <w:color w:val="2E75B6"/>
          <w:sz w:val="24"/>
          <w:szCs w:val="24"/>
        </w:rPr>
        <w:t xml:space="preserve">Step 3: </w:t>
      </w:r>
      <w:r>
        <w:rPr>
          <w:rFonts w:ascii="Arial" w:cs="Arial" w:eastAsia="Arial" w:hAnsi="Arial"/>
          <w:b/>
          <w:bCs/>
          <w:color w:val="000000"/>
          <w:sz w:val="24"/>
          <w:szCs w:val="24"/>
        </w:rPr>
        <w:t xml:space="preserve">Refresh the Fields</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Right-click BAQReportResult again and click Refresh Fields.</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Report Builder will connect to the data source and pull the updated field list. You should now see all the new fields listed under BAQReportResult in the Report Data panel.</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Also update the RptLabels dataset query in the same way — add the new field names to its SELECT list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before="40" w:after="40"/>
            </w:pPr>
            <w:r>
              <w:rPr>
                <w:rFonts w:ascii="Arial" w:cs="Arial" w:eastAsia="Arial" w:hAnsi="Arial"/>
                <w:b/>
                <w:bCs/>
                <w:color w:val="1F4E79"/>
                <w:sz w:val="22"/>
                <w:szCs w:val="22"/>
              </w:rPr>
              <w:t xml:space="preserve">TIP:  </w:t>
            </w:r>
            <w:r>
              <w:rPr>
                <w:rFonts w:ascii="Arial" w:cs="Arial" w:eastAsia="Arial" w:hAnsi="Arial"/>
                <w:sz w:val="20"/>
                <w:szCs w:val="20"/>
              </w:rPr>
              <w:t xml:space="preserve">If Refresh Fields fails or shows an error, it usually means either the BAQ was not published yet (go back and publish it), or the data source connection needs to be refreshed. Check that your report data source is pointing to the correct Kinetic server.</w:t>
            </w:r>
          </w:p>
        </w:tc>
      </w:tr>
    </w:tbl>
    <w:p>
      <w:r>
        <w:br w:type="page"/>
      </w:r>
    </w:p>
    <w:p>
      <w:pPr>
        <w:pStyle w:val="Heading1"/>
      </w:pPr>
      <w:r>
        <w:rPr>
          <w:rFonts w:ascii="Arial" w:cs="Arial" w:eastAsia="Arial" w:hAnsi="Arial"/>
          <w:b/>
          <w:bCs/>
          <w:color w:val="1F4E79"/>
          <w:sz w:val="32"/>
          <w:szCs w:val="32"/>
        </w:rPr>
        <w:t xml:space="preserve">Section 4: Build the Report Body in Report Builder</w:t>
      </w:r>
    </w:p>
    <w:p>
      <w:pPr>
        <w:pBdr>
          <w:bottom w:val="single" w:color="2E75B6" w:sz="8" w:space="1"/>
        </w:pBdr>
        <w:spacing w:before="0" w:after="120"/>
      </w:pPr>
    </w:p>
    <w:p>
      <w:pPr>
        <w:spacing w:before="60" w:after="100"/>
      </w:pPr>
      <w:r>
        <w:rPr>
          <w:rFonts w:ascii="Arial" w:cs="Arial" w:eastAsia="Arial" w:hAnsi="Arial"/>
          <w:sz w:val="22"/>
          <w:szCs w:val="22"/>
        </w:rPr>
        <w:t xml:space="preserve">This is the most significant missing piece. Your current RDL has a page header (company name, title, date, page number) but the body of the report — the part that actually shows data rows — is completely empty. This section walks you through building it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before="40" w:after="40"/>
            </w:pPr>
            <w:r>
              <w:rPr>
                <w:rFonts w:ascii="Arial" w:cs="Arial" w:eastAsia="Arial" w:hAnsi="Arial"/>
                <w:b/>
                <w:bCs/>
                <w:color w:val="1F4E79"/>
                <w:sz w:val="22"/>
                <w:szCs w:val="22"/>
              </w:rPr>
              <w:t xml:space="preserve">WHAT IS A TABLIX?  </w:t>
            </w:r>
            <w:r>
              <w:rPr>
                <w:rFonts w:ascii="Arial" w:cs="Arial" w:eastAsia="Arial" w:hAnsi="Arial"/>
                <w:sz w:val="20"/>
                <w:szCs w:val="20"/>
              </w:rPr>
              <w:t xml:space="preserve">A Tablix is the SSRS term for a data table that repeats rows for each record. Think of it like a spreadsheet grid that automatically creates one row per invoice, and can be grouped so all invoices for Ontario appear together, then all invoices for Alberta, and so on — just like the SAP report grouped by state/province.</w:t>
            </w:r>
          </w:p>
        </w:tc>
      </w:tr>
    </w:tbl>
    <w:p>
      <w:pPr>
        <w:spacing w:before="160" w:after="0"/>
      </w:pPr>
    </w:p>
    <w:p>
      <w:pPr>
        <w:spacing w:before="200" w:after="80"/>
      </w:pPr>
      <w:r>
        <w:rPr>
          <w:rFonts w:ascii="Arial" w:cs="Arial" w:eastAsia="Arial" w:hAnsi="Arial"/>
          <w:b/>
          <w:bCs/>
          <w:color w:val="2E75B6"/>
          <w:sz w:val="24"/>
          <w:szCs w:val="24"/>
        </w:rPr>
        <w:t xml:space="preserve">Step 1: </w:t>
      </w:r>
      <w:r>
        <w:rPr>
          <w:rFonts w:ascii="Arial" w:cs="Arial" w:eastAsia="Arial" w:hAnsi="Arial"/>
          <w:b/>
          <w:bCs/>
          <w:color w:val="000000"/>
          <w:sz w:val="24"/>
          <w:szCs w:val="24"/>
        </w:rPr>
        <w:t xml:space="preserve">Insert a Tablix</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Click inside the Body area of the report (the white area below the page header).</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Go to Insert &gt; Table (or Insert &gt; Tablix, depending on your Report Builder version).</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Draw the table across the full width of the body area.</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When prompted to choose a dataset, select BAQReportResult.</w:t>
      </w:r>
    </w:p>
    <w:p>
      <w:pPr>
        <w:spacing w:before="160" w:after="0"/>
      </w:pPr>
    </w:p>
    <w:p>
      <w:pPr>
        <w:spacing w:before="200" w:after="80"/>
      </w:pPr>
      <w:r>
        <w:rPr>
          <w:rFonts w:ascii="Arial" w:cs="Arial" w:eastAsia="Arial" w:hAnsi="Arial"/>
          <w:b/>
          <w:bCs/>
          <w:color w:val="2E75B6"/>
          <w:sz w:val="24"/>
          <w:szCs w:val="24"/>
        </w:rPr>
        <w:t xml:space="preserve">Step 2: </w:t>
      </w:r>
      <w:r>
        <w:rPr>
          <w:rFonts w:ascii="Arial" w:cs="Arial" w:eastAsia="Arial" w:hAnsi="Arial"/>
          <w:b/>
          <w:bCs/>
          <w:color w:val="000000"/>
          <w:sz w:val="24"/>
          <w:szCs w:val="24"/>
        </w:rPr>
        <w:t xml:space="preserve">Set Up Columns</w:t>
      </w:r>
    </w:p>
    <w:p>
      <w:pPr>
        <w:spacing w:before="60" w:after="100"/>
      </w:pPr>
      <w:r>
        <w:rPr>
          <w:rFonts w:ascii="Arial" w:cs="Arial" w:eastAsia="Arial" w:hAnsi="Arial"/>
          <w:sz w:val="22"/>
          <w:szCs w:val="22"/>
        </w:rPr>
        <w:t xml:space="preserve">The Tablix will start with a default set of columns. You need 8 columns to match your target output. Right-click to add or delete columns until you have 8. Then set the column headers and data fields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200"/>
        <w:gridCol w:w="25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Column Header</w:t>
            </w:r>
          </w:p>
        </w:tc>
        <w:tc>
          <w:tcPr>
            <w:tcW w:type="dxa" w:w="2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Field / Expression</w:t>
            </w:r>
          </w:p>
        </w:tc>
        <w:tc>
          <w:tcPr>
            <w:tcW w:type="dxa" w:w="1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Align</w:t>
            </w:r>
          </w:p>
        </w:tc>
        <w:tc>
          <w:tcPr>
            <w:tcW w:type="dxa" w:w="25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State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sz w:val="16"/>
                <w:szCs w:val="16"/>
              </w:rPr>
              <w:t xml:space="preserve">=Fields!ShipTo_State.Value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Left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Suppress on detail rows — appears in group header (see Step 3)</w:t>
            </w:r>
          </w:p>
        </w:tc>
      </w:tr>
      <w:tr>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2</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Customer #</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sz w:val="16"/>
                <w:szCs w:val="16"/>
              </w:rPr>
              <w:t xml:space="preserve">=Fields!Customer_CustID.Value</w:t>
            </w:r>
          </w:p>
        </w:tc>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Left</w:t>
            </w:r>
          </w:p>
        </w:tc>
        <w:tc>
          <w:tcPr>
            <w:tcW w:type="dxa" w:w="25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Or use LegacyCustomerSAPNum_c if preferred</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Customer Name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sz w:val="16"/>
                <w:szCs w:val="16"/>
              </w:rPr>
              <w:t xml:space="preserve">=Fields!ShipTo_Name.Value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Left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
            </w:r>
          </w:p>
        </w:tc>
      </w:tr>
      <w:tr>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4</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Invoice Type</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sz w:val="16"/>
                <w:szCs w:val="16"/>
              </w:rPr>
              <w:t xml:space="preserve">=Fields!Calculated_InvoiceTypeLabel.Value</w:t>
            </w:r>
          </w:p>
        </w:tc>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Left</w:t>
            </w:r>
          </w:p>
        </w:tc>
        <w:tc>
          <w:tcPr>
            <w:tcW w:type="dxa" w:w="25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Invoice #</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sz w:val="16"/>
                <w:szCs w:val="16"/>
              </w:rPr>
              <w:t xml:space="preserve">=Fields!InvcHead_InvoiceNum.Value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Left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
            </w:r>
          </w:p>
        </w:tc>
      </w:tr>
      <w:tr>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6</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Invoice Date</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sz w:val="16"/>
                <w:szCs w:val="16"/>
              </w:rPr>
              <w:t xml:space="preserve">=Fields!InvcHead_InvoiceDate.Value</w:t>
            </w:r>
          </w:p>
        </w:tc>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Left</w:t>
            </w:r>
          </w:p>
        </w:tc>
        <w:tc>
          <w:tcPr>
            <w:tcW w:type="dxa" w:w="25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Format as MM/dd/yyyy</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7</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Value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sz w:val="16"/>
                <w:szCs w:val="16"/>
              </w:rPr>
              <w:t xml:space="preserve">=Fields!Calculated_NetValue.Value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Right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Format as #,##0.00</w:t>
            </w:r>
          </w:p>
        </w:tc>
      </w:tr>
      <w:tr>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8</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Currency</w:t>
            </w:r>
          </w:p>
        </w:tc>
        <w:tc>
          <w:tcPr>
            <w:tcW w:type="dxa" w:w="2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sz w:val="16"/>
                <w:szCs w:val="16"/>
              </w:rPr>
              <w:t xml:space="preserve">=Fields!InvcHead_CurrencyCode.Value</w:t>
            </w:r>
          </w:p>
        </w:tc>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Center</w:t>
            </w:r>
          </w:p>
        </w:tc>
        <w:tc>
          <w:tcPr>
            <w:tcW w:type="dxa" w:w="25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
            </w:r>
          </w:p>
        </w:tc>
      </w:tr>
    </w:tbl>
    <w:p>
      <w:pPr>
        <w:spacing w:before="160" w:after="0"/>
      </w:pPr>
    </w:p>
    <w:p>
      <w:pPr>
        <w:spacing w:before="200" w:after="80"/>
      </w:pPr>
      <w:r>
        <w:rPr>
          <w:rFonts w:ascii="Arial" w:cs="Arial" w:eastAsia="Arial" w:hAnsi="Arial"/>
          <w:b/>
          <w:bCs/>
          <w:color w:val="2E75B6"/>
          <w:sz w:val="24"/>
          <w:szCs w:val="24"/>
        </w:rPr>
        <w:t xml:space="preserve">Step 3: </w:t>
      </w:r>
      <w:r>
        <w:rPr>
          <w:rFonts w:ascii="Arial" w:cs="Arial" w:eastAsia="Arial" w:hAnsi="Arial"/>
          <w:b/>
          <w:bCs/>
          <w:color w:val="000000"/>
          <w:sz w:val="24"/>
          <w:szCs w:val="24"/>
        </w:rPr>
        <w:t xml:space="preserve">Add a Row Group by State</w:t>
      </w:r>
    </w:p>
    <w:p>
      <w:pPr>
        <w:spacing w:before="60" w:after="100"/>
      </w:pPr>
      <w:r>
        <w:rPr>
          <w:rFonts w:ascii="Arial" w:cs="Arial" w:eastAsia="Arial" w:hAnsi="Arial"/>
          <w:sz w:val="22"/>
          <w:szCs w:val="22"/>
        </w:rPr>
        <w:t xml:space="preserve">A row group tells the Tablix to gather all rows with the same state together and put a group header above them. This is how you get the state-by-state layout that matches the SAP report.</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In the Row Groups panel at the bottom of the screen (or via right-click on the Tablix &gt; Add Group &gt; Parent Group), add a new parent group.</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Set the Group By expression to: =Fields!ShipTo_State.Value</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Check the options to add a group header row. This inserts a new row at the top of each state's section.</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In the group header row, put the state name in the first cell: =Fields!ShipTo_State.Value — make it bold and give it a light background colour for visual separation.</w:t>
      </w:r>
    </w:p>
    <w:p>
      <w:pPr>
        <w:spacing w:before="60" w:after="60"/>
        <w:ind w:left="400"/>
      </w:pPr>
      <w:r>
        <w:rPr>
          <w:rFonts w:ascii="Arial" w:cs="Arial" w:eastAsia="Arial" w:hAnsi="Arial"/>
          <w:b/>
          <w:bCs/>
          <w:color w:val="2E75B6"/>
          <w:sz w:val="22"/>
          <w:szCs w:val="22"/>
        </w:rPr>
        <w:t xml:space="preserve">e.  </w:t>
      </w:r>
      <w:r>
        <w:rPr>
          <w:rFonts w:ascii="Arial" w:cs="Arial" w:eastAsia="Arial" w:hAnsi="Arial"/>
          <w:sz w:val="22"/>
          <w:szCs w:val="22"/>
        </w:rPr>
        <w:t xml:space="preserve">In the detail row, you can now leave the State column blank (since it appears in the group header), or set it to =Fields!ShipTo_State.Value and suppress it — either way is fine visually.</w:t>
      </w:r>
    </w:p>
    <w:p>
      <w:pPr>
        <w:spacing w:before="60" w:after="60"/>
        <w:ind w:left="400"/>
      </w:pPr>
      <w:r>
        <w:rPr>
          <w:rFonts w:ascii="Arial" w:cs="Arial" w:eastAsia="Arial" w:hAnsi="Arial"/>
          <w:b/>
          <w:bCs/>
          <w:color w:val="2E75B6"/>
          <w:sz w:val="22"/>
          <w:szCs w:val="22"/>
        </w:rPr>
        <w:t xml:space="preserve">f.  </w:t>
      </w:r>
      <w:r>
        <w:rPr>
          <w:rFonts w:ascii="Arial" w:cs="Arial" w:eastAsia="Arial" w:hAnsi="Arial"/>
          <w:sz w:val="22"/>
          <w:szCs w:val="22"/>
        </w:rPr>
        <w:t xml:space="preserve">Set the sort order for the group to ascending on ShipTo_State, so provinces/states appear alphabetically.</w:t>
      </w:r>
    </w:p>
    <w:p>
      <w:pPr>
        <w:spacing w:before="160" w:after="0"/>
      </w:pPr>
    </w:p>
    <w:p>
      <w:pPr>
        <w:spacing w:before="200" w:after="80"/>
      </w:pPr>
      <w:r>
        <w:rPr>
          <w:rFonts w:ascii="Arial" w:cs="Arial" w:eastAsia="Arial" w:hAnsi="Arial"/>
          <w:b/>
          <w:bCs/>
          <w:color w:val="2E75B6"/>
          <w:sz w:val="24"/>
          <w:szCs w:val="24"/>
        </w:rPr>
        <w:t xml:space="preserve">Step 4: </w:t>
      </w:r>
      <w:r>
        <w:rPr>
          <w:rFonts w:ascii="Arial" w:cs="Arial" w:eastAsia="Arial" w:hAnsi="Arial"/>
          <w:b/>
          <w:bCs/>
          <w:color w:val="000000"/>
          <w:sz w:val="24"/>
          <w:szCs w:val="24"/>
        </w:rPr>
        <w:t xml:space="preserve">Add a State Subtotal Row</w:t>
      </w:r>
    </w:p>
    <w:p>
      <w:pPr>
        <w:spacing w:before="60" w:after="100"/>
      </w:pPr>
      <w:r>
        <w:rPr>
          <w:rFonts w:ascii="Arial" w:cs="Arial" w:eastAsia="Arial" w:hAnsi="Arial"/>
          <w:sz w:val="22"/>
          <w:szCs w:val="22"/>
        </w:rPr>
        <w:t xml:space="preserve">SAP's report had a subtotal per state (the DO_SUM flag on the NETWR field). You replicate this with a group footer row.</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Right-click on the row group you created in Step 3 and choose Add Total &gt; After.</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This inserts a group footer row at the bottom of each state's section.</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In the group footer row, in the State column cell, type: State Total (as a static label, not a field expression).</w:t>
      </w:r>
    </w:p>
    <w:p>
      <w:pPr>
        <w:spacing w:before="60" w:after="60"/>
        <w:ind w:left="400"/>
      </w:pPr>
      <w:r>
        <w:rPr>
          <w:rFonts w:ascii="Arial" w:cs="Arial" w:eastAsia="Arial" w:hAnsi="Arial"/>
          <w:b/>
          <w:bCs/>
          <w:color w:val="2E75B6"/>
          <w:sz w:val="22"/>
          <w:szCs w:val="22"/>
        </w:rPr>
        <w:t xml:space="preserve">d.  </w:t>
      </w:r>
      <w:r>
        <w:rPr>
          <w:rFonts w:ascii="Arial" w:cs="Arial" w:eastAsia="Arial" w:hAnsi="Arial"/>
          <w:sz w:val="22"/>
          <w:szCs w:val="22"/>
        </w:rPr>
        <w:t xml:space="preserve">In the Value column cell of the footer row, enter: =Sum(Fields!Calculated_NetValue.Value)</w:t>
      </w:r>
    </w:p>
    <w:p>
      <w:pPr>
        <w:spacing w:before="60" w:after="60"/>
        <w:ind w:left="400"/>
      </w:pPr>
      <w:r>
        <w:rPr>
          <w:rFonts w:ascii="Arial" w:cs="Arial" w:eastAsia="Arial" w:hAnsi="Arial"/>
          <w:b/>
          <w:bCs/>
          <w:color w:val="2E75B6"/>
          <w:sz w:val="22"/>
          <w:szCs w:val="22"/>
        </w:rPr>
        <w:t xml:space="preserve">e.  </w:t>
      </w:r>
      <w:r>
        <w:rPr>
          <w:rFonts w:ascii="Arial" w:cs="Arial" w:eastAsia="Arial" w:hAnsi="Arial"/>
          <w:sz w:val="22"/>
          <w:szCs w:val="22"/>
        </w:rPr>
        <w:t xml:space="preserve">Format that cell bold, right-aligned, with the same number format as the detail rows (#,##0.00).</w:t>
      </w:r>
    </w:p>
    <w:p>
      <w:pPr>
        <w:spacing w:before="60" w:after="60"/>
        <w:ind w:left="400"/>
      </w:pPr>
      <w:r>
        <w:rPr>
          <w:rFonts w:ascii="Arial" w:cs="Arial" w:eastAsia="Arial" w:hAnsi="Arial"/>
          <w:b/>
          <w:bCs/>
          <w:color w:val="2E75B6"/>
          <w:sz w:val="22"/>
          <w:szCs w:val="22"/>
        </w:rPr>
        <w:t xml:space="preserve">f.  </w:t>
      </w:r>
      <w:r>
        <w:rPr>
          <w:rFonts w:ascii="Arial" w:cs="Arial" w:eastAsia="Arial" w:hAnsi="Arial"/>
          <w:sz w:val="22"/>
          <w:szCs w:val="22"/>
        </w:rPr>
        <w:t xml:space="preserve">Optionally, add a top border to the group footer row to visually separate the subtotal from the detail rows.</w:t>
      </w:r>
    </w:p>
    <w:p>
      <w:pPr>
        <w:spacing w:before="160" w:after="0"/>
      </w:pPr>
    </w:p>
    <w:p>
      <w:pPr>
        <w:spacing w:before="200" w:after="80"/>
      </w:pPr>
      <w:r>
        <w:rPr>
          <w:rFonts w:ascii="Arial" w:cs="Arial" w:eastAsia="Arial" w:hAnsi="Arial"/>
          <w:b/>
          <w:bCs/>
          <w:color w:val="2E75B6"/>
          <w:sz w:val="24"/>
          <w:szCs w:val="24"/>
        </w:rPr>
        <w:t xml:space="preserve">Step 5: </w:t>
      </w:r>
      <w:r>
        <w:rPr>
          <w:rFonts w:ascii="Arial" w:cs="Arial" w:eastAsia="Arial" w:hAnsi="Arial"/>
          <w:b/>
          <w:bCs/>
          <w:color w:val="000000"/>
          <w:sz w:val="24"/>
          <w:szCs w:val="24"/>
        </w:rPr>
        <w:t xml:space="preserve">Add a Grand Total Row</w:t>
      </w:r>
    </w:p>
    <w:p>
      <w:pPr>
        <w:spacing w:before="60" w:after="100"/>
      </w:pPr>
      <w:r>
        <w:rPr>
          <w:rFonts w:ascii="Arial" w:cs="Arial" w:eastAsia="Arial" w:hAnsi="Arial"/>
          <w:sz w:val="22"/>
          <w:szCs w:val="22"/>
        </w:rPr>
        <w:t xml:space="preserve">Optionally add a grand total at the very bottom of the report.</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Right-click the Tablix and add a total row at the bottom (outside all groups).</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Label it "Grand Total" and use the same =Sum(Fields!Calculated_NetValue.Value) expression in the Value column.</w:t>
      </w:r>
    </w:p>
    <w:p>
      <w:pPr>
        <w:spacing w:before="160" w:after="0"/>
      </w:pPr>
    </w:p>
    <w:p>
      <w:pPr>
        <w:spacing w:before="200" w:after="80"/>
      </w:pPr>
      <w:r>
        <w:rPr>
          <w:rFonts w:ascii="Arial" w:cs="Arial" w:eastAsia="Arial" w:hAnsi="Arial"/>
          <w:b/>
          <w:bCs/>
          <w:color w:val="2E75B6"/>
          <w:sz w:val="24"/>
          <w:szCs w:val="24"/>
        </w:rPr>
        <w:t xml:space="preserve">Step 6: </w:t>
      </w:r>
      <w:r>
        <w:rPr>
          <w:rFonts w:ascii="Arial" w:cs="Arial" w:eastAsia="Arial" w:hAnsi="Arial"/>
          <w:b/>
          <w:bCs/>
          <w:color w:val="000000"/>
          <w:sz w:val="24"/>
          <w:szCs w:val="24"/>
        </w:rPr>
        <w:t xml:space="preserve">Format the Report</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Set the font throughout to Arial, size 8 or 9pt for data rows, 10pt for group headers.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Set the Value column (Calculated_NetValue) format to: #,##0.00</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Set the Invoice Date format to: MM/dd/yyyy</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Set column header rows to bold with the BLUE_MID (#2E75B6) or similar background.</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Set the report width to match the page width minus margins. With 0.75" margins on each side on a Letter page, your content width is about 7.5 inches.</w:t>
      </w:r>
    </w:p>
    <w:p>
      <w:pPr>
        <w:spacing w:before="40" w:after="40"/>
        <w:ind w:left="680" w:hanging="280"/>
      </w:pPr>
      <w:r>
        <w:rPr>
          <w:rFonts w:ascii="Arial" w:cs="Arial" w:eastAsia="Arial" w:hAnsi="Arial"/>
          <w:color w:val="2E75B6"/>
          <w:sz w:val="22"/>
          <w:szCs w:val="22"/>
        </w:rPr>
        <w:t xml:space="preserve">•  </w:t>
      </w:r>
      <w:r>
        <w:rPr>
          <w:rFonts w:ascii="Arial" w:cs="Arial" w:eastAsia="Arial" w:hAnsi="Arial"/>
          <w:sz w:val="22"/>
          <w:szCs w:val="22"/>
        </w:rPr>
        <w:t xml:space="preserve">Use Page Break Between Groups on the state group if you want each province/state to start on a new page (right-click the group &gt; Group Properties &gt; Page Breaks).</w:t>
      </w:r>
    </w:p>
    <w:p>
      <w:r>
        <w:br w:type="page"/>
      </w:r>
    </w:p>
    <w:p>
      <w:pPr>
        <w:pStyle w:val="Heading1"/>
      </w:pPr>
      <w:r>
        <w:rPr>
          <w:rFonts w:ascii="Arial" w:cs="Arial" w:eastAsia="Arial" w:hAnsi="Arial"/>
          <w:b/>
          <w:bCs/>
          <w:color w:val="1F4E79"/>
          <w:sz w:val="32"/>
          <w:szCs w:val="32"/>
        </w:rPr>
        <w:t xml:space="preserve">Section 5: Test End to End</w:t>
      </w:r>
    </w:p>
    <w:p>
      <w:pPr>
        <w:pBdr>
          <w:bottom w:val="single" w:color="2E75B6" w:sz="8" w:space="1"/>
        </w:pBdr>
        <w:spacing w:before="0" w:after="120"/>
      </w:pPr>
    </w:p>
    <w:p>
      <w:pPr>
        <w:spacing w:before="60" w:after="100"/>
      </w:pPr>
      <w:r>
        <w:rPr>
          <w:rFonts w:ascii="Arial" w:cs="Arial" w:eastAsia="Arial" w:hAnsi="Arial"/>
          <w:sz w:val="22"/>
          <w:szCs w:val="22"/>
        </w:rPr>
        <w:t xml:space="preserve">Once the report body is built, deploy the updated RDL through Kinetic's report style setup and run a test. Use December 2025 as your date range since you have the SAP export for that period to compare against.</w:t>
      </w:r>
    </w:p>
    <w:p>
      <w:pPr>
        <w:spacing w:before="200" w:after="80"/>
      </w:pPr>
      <w:r>
        <w:rPr>
          <w:rFonts w:ascii="Arial" w:cs="Arial" w:eastAsia="Arial" w:hAnsi="Arial"/>
          <w:b/>
          <w:bCs/>
          <w:color w:val="2E75B6"/>
          <w:sz w:val="24"/>
          <w:szCs w:val="24"/>
        </w:rPr>
        <w:t xml:space="preserve">Step 1: </w:t>
      </w:r>
      <w:r>
        <w:rPr>
          <w:rFonts w:ascii="Arial" w:cs="Arial" w:eastAsia="Arial" w:hAnsi="Arial"/>
          <w:b/>
          <w:bCs/>
          <w:color w:val="000000"/>
          <w:sz w:val="24"/>
          <w:szCs w:val="24"/>
        </w:rPr>
        <w:t xml:space="preserve">Deploy the Report</w:t>
      </w:r>
    </w:p>
    <w:p>
      <w:pPr>
        <w:spacing w:before="60" w:after="60"/>
        <w:ind w:left="400"/>
      </w:pPr>
      <w:r>
        <w:rPr>
          <w:rFonts w:ascii="Arial" w:cs="Arial" w:eastAsia="Arial" w:hAnsi="Arial"/>
          <w:b/>
          <w:bCs/>
          <w:color w:val="2E75B6"/>
          <w:sz w:val="22"/>
          <w:szCs w:val="22"/>
        </w:rPr>
        <w:t xml:space="preserve">a.  </w:t>
      </w:r>
      <w:r>
        <w:rPr>
          <w:rFonts w:ascii="Arial" w:cs="Arial" w:eastAsia="Arial" w:hAnsi="Arial"/>
          <w:sz w:val="22"/>
          <w:szCs w:val="22"/>
        </w:rPr>
        <w:t xml:space="preserve">Save your RDL file.</w:t>
      </w:r>
    </w:p>
    <w:p>
      <w:pPr>
        <w:spacing w:before="60" w:after="60"/>
        <w:ind w:left="400"/>
      </w:pPr>
      <w:r>
        <w:rPr>
          <w:rFonts w:ascii="Arial" w:cs="Arial" w:eastAsia="Arial" w:hAnsi="Arial"/>
          <w:b/>
          <w:bCs/>
          <w:color w:val="2E75B6"/>
          <w:sz w:val="22"/>
          <w:szCs w:val="22"/>
        </w:rPr>
        <w:t xml:space="preserve">b.  </w:t>
      </w:r>
      <w:r>
        <w:rPr>
          <w:rFonts w:ascii="Arial" w:cs="Arial" w:eastAsia="Arial" w:hAnsi="Arial"/>
          <w:sz w:val="22"/>
          <w:szCs w:val="22"/>
        </w:rPr>
        <w:t xml:space="preserve">In Kinetic, go to Report Style Maintenance (or equivalent) and update the report style that points to this RDL file.</w:t>
      </w:r>
    </w:p>
    <w:p>
      <w:pPr>
        <w:spacing w:before="60" w:after="60"/>
        <w:ind w:left="400"/>
      </w:pPr>
      <w:r>
        <w:rPr>
          <w:rFonts w:ascii="Arial" w:cs="Arial" w:eastAsia="Arial" w:hAnsi="Arial"/>
          <w:b/>
          <w:bCs/>
          <w:color w:val="2E75B6"/>
          <w:sz w:val="22"/>
          <w:szCs w:val="22"/>
        </w:rPr>
        <w:t xml:space="preserve">c.  </w:t>
      </w:r>
      <w:r>
        <w:rPr>
          <w:rFonts w:ascii="Arial" w:cs="Arial" w:eastAsia="Arial" w:hAnsi="Arial"/>
          <w:sz w:val="22"/>
          <w:szCs w:val="22"/>
        </w:rPr>
        <w:t xml:space="preserve">Run the report from AR &gt; Reports or wherever your team will access it.</w:t>
      </w:r>
    </w:p>
    <w:p>
      <w:pPr>
        <w:spacing w:before="160" w:after="0"/>
      </w:pPr>
    </w:p>
    <w:p>
      <w:pPr>
        <w:spacing w:before="200" w:after="80"/>
      </w:pPr>
      <w:r>
        <w:rPr>
          <w:rFonts w:ascii="Arial" w:cs="Arial" w:eastAsia="Arial" w:hAnsi="Arial"/>
          <w:b/>
          <w:bCs/>
          <w:color w:val="2E75B6"/>
          <w:sz w:val="24"/>
          <w:szCs w:val="24"/>
        </w:rPr>
        <w:t xml:space="preserve">Step 2: </w:t>
      </w:r>
      <w:r>
        <w:rPr>
          <w:rFonts w:ascii="Arial" w:cs="Arial" w:eastAsia="Arial" w:hAnsi="Arial"/>
          <w:b/>
          <w:bCs/>
          <w:color w:val="000000"/>
          <w:sz w:val="24"/>
          <w:szCs w:val="24"/>
        </w:rPr>
        <w:t xml:space="preserve">Compare Against the SAP Export</w:t>
      </w:r>
    </w:p>
    <w:p>
      <w:pPr>
        <w:spacing w:before="60" w:after="100"/>
      </w:pPr>
      <w:r>
        <w:rPr>
          <w:rFonts w:ascii="Arial" w:cs="Arial" w:eastAsia="Arial" w:hAnsi="Arial"/>
          <w:sz w:val="22"/>
          <w:szCs w:val="22"/>
        </w:rPr>
        <w:t xml:space="preserve">Open your SAP December 2025 export alongside the Kinetic output and check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color w:val="FFFFFF"/>
                <w:sz w:val="18"/>
                <w:szCs w:val="18"/>
              </w:rPr>
              <w:t xml:space="preserve"/>
            </w:r>
          </w:p>
        </w:tc>
        <w:tc>
          <w:tcPr>
            <w:tcW w:type="dxa" w:w="30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Check</w:t>
            </w:r>
          </w:p>
        </w:tc>
        <w:tc>
          <w:tcPr>
            <w:tcW w:type="dxa" w:w="59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What to look for</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1</w:t>
            </w:r>
          </w:p>
        </w:tc>
        <w:tc>
          <w:tcPr>
            <w:tcW w:type="dxa" w:w="3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State subtotals match</w:t>
            </w:r>
          </w:p>
        </w:tc>
        <w:tc>
          <w:tcPr>
            <w:tcW w:type="dxa" w:w="5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Compare the total Value per province between SAP and Kinetic. Small differences may indicate tax is still included or freight is double-counted.</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2</w:t>
            </w:r>
          </w:p>
        </w:tc>
        <w:tc>
          <w:tcPr>
            <w:tcW w:type="dxa" w:w="30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Record counts comparable</w:t>
            </w:r>
          </w:p>
        </w:tc>
        <w:tc>
          <w:tcPr>
            <w:tcW w:type="dxa" w:w="5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Kinetic may have more records if SAP had filtering your team removed. Investigate large discrepancies.</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3</w:t>
            </w:r>
          </w:p>
        </w:tc>
        <w:tc>
          <w:tcPr>
            <w:tcW w:type="dxa" w:w="3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Credit memos are negative</w:t>
            </w:r>
          </w:p>
        </w:tc>
        <w:tc>
          <w:tcPr>
            <w:tcW w:type="dxa" w:w="5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Credit memo values should appear as negative numbers, matching SAP's output.</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4</w:t>
            </w:r>
          </w:p>
        </w:tc>
        <w:tc>
          <w:tcPr>
            <w:tcW w:type="dxa" w:w="30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All 5 invoice types appear</w:t>
            </w:r>
          </w:p>
        </w:tc>
        <w:tc>
          <w:tcPr>
            <w:tcW w:type="dxa" w:w="5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Invoice, Credit Memo, Debit Memo, Return Credit, Cancellation should all be present if your data has them.</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5</w:t>
            </w:r>
          </w:p>
        </w:tc>
        <w:tc>
          <w:tcPr>
            <w:tcW w:type="dxa" w:w="3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Cancellation pairs net to zero</w:t>
            </w:r>
          </w:p>
        </w:tc>
        <w:tc>
          <w:tcPr>
            <w:tcW w:type="dxa" w:w="5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Find an invoice that was cancelled. Its original row plus its cancellation row should sum to zero.</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6</w:t>
            </w:r>
          </w:p>
        </w:tc>
        <w:tc>
          <w:tcPr>
            <w:tcW w:type="dxa" w:w="30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Customer IDs are recognisable</w:t>
            </w:r>
          </w:p>
        </w:tc>
        <w:tc>
          <w:tcPr>
            <w:tcW w:type="dxa" w:w="5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Customer_CustID values should be the codes your team uses daily, not internal integers.</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before="40" w:after="40"/>
            </w:pPr>
            <w:r>
              <w:rPr>
                <w:rFonts w:ascii="Arial" w:cs="Arial" w:eastAsia="Arial" w:hAnsi="Arial"/>
                <w:b/>
                <w:bCs/>
                <w:color w:val="1F4E79"/>
                <w:sz w:val="22"/>
                <w:szCs w:val="22"/>
              </w:rPr>
              <w:t xml:space="preserve">REMEMBER:  </w:t>
            </w:r>
            <w:r>
              <w:rPr>
                <w:rFonts w:ascii="Arial" w:cs="Arial" w:eastAsia="Arial" w:hAnsi="Arial"/>
                <w:sz w:val="20"/>
                <w:szCs w:val="20"/>
              </w:rPr>
              <w:t xml:space="preserve">You don't need everything to be perfect on the first run. Treat the first test as a discovery exercise — note what doesn't match, trace it back to either the BAQ (data issue) or the SSRS layout (presentation issue), and fix one thing at a time. The BAQ Designer's built-in test view is your best debugging tool.</w:t>
            </w:r>
          </w:p>
        </w:tc>
      </w:tr>
    </w:tbl>
    <w:p>
      <w:r>
        <w:br w:type="page"/>
      </w:r>
    </w:p>
    <w:p>
      <w:pPr>
        <w:pStyle w:val="Heading1"/>
      </w:pPr>
      <w:r>
        <w:rPr>
          <w:rFonts w:ascii="Arial" w:cs="Arial" w:eastAsia="Arial" w:hAnsi="Arial"/>
          <w:b/>
          <w:bCs/>
          <w:color w:val="1F4E79"/>
          <w:sz w:val="32"/>
          <w:szCs w:val="32"/>
        </w:rPr>
        <w:t xml:space="preserve">Quick Reference: SAP to Kinetic Field Mapping</w:t>
      </w:r>
    </w:p>
    <w:p>
      <w:pPr>
        <w:pBdr>
          <w:bottom w:val="single" w:color="2E75B6"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SAP Field</w:t>
            </w:r>
          </w:p>
        </w:tc>
        <w:tc>
          <w:tcPr>
            <w:tcW w:type="dxa" w:w="16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SAP Table</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Kinetic Field</w:t>
            </w:r>
          </w:p>
        </w:tc>
        <w:tc>
          <w:tcPr>
            <w:tcW w:type="dxa" w:w="29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REGIO</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666666"/>
                <w:sz w:val="18"/>
                <w:szCs w:val="18"/>
              </w:rPr>
              <w:t xml:space="preserve">KNA1</w:t>
            </w:r>
          </w:p>
        </w:tc>
        <w:tc>
          <w:tcPr>
            <w:tcW w:type="dxa" w:w="3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ShipTo.State</w:t>
            </w:r>
          </w:p>
        </w:tc>
        <w:tc>
          <w:tcPr>
            <w:tcW w:type="dxa" w:w="2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Province/state code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BEZEI</w:t>
            </w:r>
          </w:p>
        </w:tc>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666666"/>
                <w:sz w:val="18"/>
                <w:szCs w:val="18"/>
              </w:rPr>
              <w:t xml:space="preserve">T005U</w:t>
            </w:r>
          </w:p>
        </w:tc>
        <w:tc>
          <w:tcPr>
            <w:tcW w:type="dxa" w:w="3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8"/>
                <w:szCs w:val="18"/>
              </w:rPr>
              <w:t xml:space="preserve">ShipTo.State</w:t>
            </w:r>
          </w:p>
        </w:tc>
        <w:tc>
          <w:tcPr>
            <w:tcW w:type="dxa" w:w="2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Kinetic stores name directly in State field</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KUNNR (ship-to)</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666666"/>
                <w:sz w:val="18"/>
                <w:szCs w:val="18"/>
              </w:rPr>
              <w:t xml:space="preserve">KNA1</w:t>
            </w:r>
          </w:p>
        </w:tc>
        <w:tc>
          <w:tcPr>
            <w:tcW w:type="dxa" w:w="3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Customer.CustID</w:t>
            </w:r>
          </w:p>
        </w:tc>
        <w:tc>
          <w:tcPr>
            <w:tcW w:type="dxa" w:w="2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User-facing customer code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KUNNR (SAP #)</w:t>
            </w:r>
          </w:p>
        </w:tc>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666666"/>
                <w:sz w:val="18"/>
                <w:szCs w:val="18"/>
              </w:rPr>
              <w:t xml:space="preserve">KNA1</w:t>
            </w:r>
          </w:p>
        </w:tc>
        <w:tc>
          <w:tcPr>
            <w:tcW w:type="dxa" w:w="3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8"/>
                <w:szCs w:val="18"/>
              </w:rPr>
              <w:t xml:space="preserve">Customer.LegacyCustomerSAPNum_c</w:t>
            </w:r>
          </w:p>
        </w:tc>
        <w:tc>
          <w:tcPr>
            <w:tcW w:type="dxa" w:w="2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Custom field from migration</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NAME1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666666"/>
                <w:sz w:val="18"/>
                <w:szCs w:val="18"/>
              </w:rPr>
              <w:t xml:space="preserve">KNA1</w:t>
            </w:r>
          </w:p>
        </w:tc>
        <w:tc>
          <w:tcPr>
            <w:tcW w:type="dxa" w:w="3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ShipTo.Name</w:t>
            </w:r>
          </w:p>
        </w:tc>
        <w:tc>
          <w:tcPr>
            <w:tcW w:type="dxa" w:w="2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Ship-to name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FKART</w:t>
            </w:r>
          </w:p>
        </w:tc>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666666"/>
                <w:sz w:val="18"/>
                <w:szCs w:val="18"/>
              </w:rPr>
              <w:t xml:space="preserve">VBRK</w:t>
            </w:r>
          </w:p>
        </w:tc>
        <w:tc>
          <w:tcPr>
            <w:tcW w:type="dxa" w:w="3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8"/>
                <w:szCs w:val="18"/>
              </w:rPr>
              <w:t xml:space="preserve">Calculated_InvoiceTypeLabel</w:t>
            </w:r>
          </w:p>
        </w:tc>
        <w:tc>
          <w:tcPr>
            <w:tcW w:type="dxa" w:w="2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Calculated from CreditMemo, DebitNote, RMANum, RefCancelled flags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VBELN</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666666"/>
                <w:sz w:val="18"/>
                <w:szCs w:val="18"/>
              </w:rPr>
              <w:t xml:space="preserve">VBRK</w:t>
            </w:r>
          </w:p>
        </w:tc>
        <w:tc>
          <w:tcPr>
            <w:tcW w:type="dxa" w:w="3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InvcHead.InvoiceNum</w:t>
            </w:r>
          </w:p>
        </w:tc>
        <w:tc>
          <w:tcPr>
            <w:tcW w:type="dxa" w:w="2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Invoice number</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FKDAT</w:t>
            </w:r>
          </w:p>
        </w:tc>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666666"/>
                <w:sz w:val="18"/>
                <w:szCs w:val="18"/>
              </w:rPr>
              <w:t xml:space="preserve">VBRK</w:t>
            </w:r>
          </w:p>
        </w:tc>
        <w:tc>
          <w:tcPr>
            <w:tcW w:type="dxa" w:w="3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8"/>
                <w:szCs w:val="18"/>
              </w:rPr>
              <w:t xml:space="preserve">InvcHead.InvoiceDate</w:t>
            </w:r>
          </w:p>
        </w:tc>
        <w:tc>
          <w:tcPr>
            <w:tcW w:type="dxa" w:w="2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Invoice date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NETWR (net value)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666666"/>
                <w:sz w:val="18"/>
                <w:szCs w:val="18"/>
              </w:rPr>
              <w:t xml:space="preserve">VBRK</w:t>
            </w:r>
          </w:p>
        </w:tc>
        <w:tc>
          <w:tcPr>
            <w:tcW w:type="dxa" w:w="3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Calculated_NetValue</w:t>
            </w:r>
          </w:p>
        </w:tc>
        <w:tc>
          <w:tcPr>
            <w:tcW w:type="dxa" w:w="29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color w:val="555555"/>
                <w:sz w:val="18"/>
                <w:szCs w:val="18"/>
              </w:rPr>
              <w:t xml:space="preserve">= DocInvoiceAmt - DocTaxAmt</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WAERK</w:t>
            </w:r>
          </w:p>
        </w:tc>
        <w:tc>
          <w:tcPr>
            <w:tcW w:type="dxa" w:w="16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666666"/>
                <w:sz w:val="18"/>
                <w:szCs w:val="18"/>
              </w:rPr>
              <w:t xml:space="preserve">VBRK</w:t>
            </w:r>
          </w:p>
        </w:tc>
        <w:tc>
          <w:tcPr>
            <w:tcW w:type="dxa" w:w="3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8"/>
                <w:szCs w:val="18"/>
              </w:rPr>
              <w:t xml:space="preserve">InvcHead.CurrencyCode</w:t>
            </w:r>
          </w:p>
        </w:tc>
        <w:tc>
          <w:tcPr>
            <w:tcW w:type="dxa" w:w="29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color w:val="555555"/>
                <w:sz w:val="18"/>
                <w:szCs w:val="18"/>
              </w:rPr>
              <w:t xml:space="preserve">Currency</w:t>
            </w:r>
          </w:p>
        </w:tc>
      </w:tr>
    </w:tbl>
    <w:p>
      <w:pPr>
        <w:spacing w:before="280" w:after="0"/>
      </w:pPr>
    </w:p>
    <w:p>
      <w:pPr>
        <w:pStyle w:val="Heading1"/>
      </w:pPr>
      <w:r>
        <w:rPr>
          <w:rFonts w:ascii="Arial" w:cs="Arial" w:eastAsia="Arial" w:hAnsi="Arial"/>
          <w:b/>
          <w:bCs/>
          <w:color w:val="1F4E79"/>
          <w:sz w:val="32"/>
          <w:szCs w:val="32"/>
        </w:rPr>
        <w:t xml:space="preserve">Quick Reference: Invoice Type Mapping</w:t>
      </w:r>
    </w:p>
    <w:p>
      <w:pPr>
        <w:pBdr>
          <w:bottom w:val="single" w:color="2E75B6"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SAP Code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SAP Name</w:t>
            </w:r>
          </w:p>
        </w:tc>
        <w:tc>
          <w:tcPr>
            <w:tcW w:type="dxa" w:w="33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Kinetic Condition</w:t>
            </w:r>
          </w:p>
        </w:tc>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Kinetic Label</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F2</w:t>
            </w:r>
          </w:p>
        </w:tc>
        <w:tc>
          <w:tcPr>
            <w:tcW w:type="dxa" w:w="2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Invoice</w:t>
            </w:r>
          </w:p>
        </w:tc>
        <w:tc>
          <w:tcPr>
            <w:tcW w:type="dxa" w:w="33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6"/>
                <w:szCs w:val="16"/>
              </w:rPr>
              <w:t xml:space="preserve">None of the below flags are set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Invoice</w:t>
            </w:r>
          </w:p>
        </w:tc>
      </w:tr>
      <w:tr>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G2</w:t>
            </w:r>
          </w:p>
        </w:tc>
        <w:tc>
          <w:tcPr>
            <w:tcW w:type="dxa" w:w="20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Credit Memo</w:t>
            </w:r>
          </w:p>
        </w:tc>
        <w:tc>
          <w:tcPr>
            <w:tcW w:type="dxa" w:w="33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6"/>
                <w:szCs w:val="16"/>
              </w:rPr>
              <w:t xml:space="preserve">CreditMemo = true, RMANum = 0</w:t>
            </w:r>
          </w:p>
        </w:tc>
        <w:tc>
          <w:tcPr>
            <w:tcW w:type="dxa" w:w="28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Credit Memo</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L2</w:t>
            </w:r>
          </w:p>
        </w:tc>
        <w:tc>
          <w:tcPr>
            <w:tcW w:type="dxa" w:w="2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Debit Memo</w:t>
            </w:r>
          </w:p>
        </w:tc>
        <w:tc>
          <w:tcPr>
            <w:tcW w:type="dxa" w:w="33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6"/>
                <w:szCs w:val="16"/>
              </w:rPr>
              <w:t xml:space="preserve">DebitNote = true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Debit Memo</w:t>
            </w:r>
          </w:p>
        </w:tc>
      </w:tr>
      <w:tr>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S1</w:t>
            </w:r>
          </w:p>
        </w:tc>
        <w:tc>
          <w:tcPr>
            <w:tcW w:type="dxa" w:w="20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Cancellation</w:t>
            </w:r>
          </w:p>
        </w:tc>
        <w:tc>
          <w:tcPr>
            <w:tcW w:type="dxa" w:w="33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6"/>
                <w:szCs w:val="16"/>
              </w:rPr>
              <w:t xml:space="preserve">RefCancelled &gt; 0</w:t>
            </w:r>
          </w:p>
        </w:tc>
        <w:tc>
          <w:tcPr>
            <w:tcW w:type="dxa" w:w="28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Cancellation</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4E79"/>
                <w:sz w:val="18"/>
                <w:szCs w:val="18"/>
              </w:rPr>
              <w:t xml:space="preserve">ZRE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sz w:val="18"/>
                <w:szCs w:val="18"/>
              </w:rPr>
              <w:t xml:space="preserve">Returns Credit</w:t>
            </w:r>
          </w:p>
        </w:tc>
        <w:tc>
          <w:tcPr>
            <w:tcW w:type="dxa" w:w="33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Courier New" w:cs="Courier New" w:eastAsia="Courier New" w:hAnsi="Courier New"/>
                <w:color w:val="1F3864"/>
                <w:sz w:val="16"/>
                <w:szCs w:val="16"/>
              </w:rPr>
              <w:t xml:space="preserve">CreditMemo = true, RMANum &gt; 0</w:t>
            </w:r>
          </w:p>
        </w:tc>
        <w:tc>
          <w:tcPr>
            <w:tcW w:type="dxa" w:w="28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r>
              <w:rPr>
                <w:rFonts w:ascii="Arial" w:cs="Arial" w:eastAsia="Arial" w:hAnsi="Arial"/>
                <w:b/>
                <w:bCs/>
                <w:sz w:val="18"/>
                <w:szCs w:val="18"/>
              </w:rPr>
              <w:t xml:space="preserve">Return Credit</w:t>
            </w:r>
          </w:p>
        </w:tc>
      </w:tr>
      <w:tr>
        <w:tc>
          <w:tcPr>
            <w:tcW w:type="dxa" w:w="12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4E79"/>
                <w:sz w:val="18"/>
                <w:szCs w:val="18"/>
              </w:rPr>
              <w:t xml:space="preserve">—</w:t>
            </w:r>
          </w:p>
        </w:tc>
        <w:tc>
          <w:tcPr>
            <w:tcW w:type="dxa" w:w="20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sz w:val="18"/>
                <w:szCs w:val="18"/>
              </w:rPr>
              <w:t xml:space="preserve">(Original cancelled)</w:t>
            </w:r>
          </w:p>
        </w:tc>
        <w:tc>
          <w:tcPr>
            <w:tcW w:type="dxa" w:w="336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Courier New" w:cs="Courier New" w:eastAsia="Courier New" w:hAnsi="Courier New"/>
                <w:color w:val="1F3864"/>
                <w:sz w:val="16"/>
                <w:szCs w:val="16"/>
              </w:rPr>
              <w:t xml:space="preserve">RefCancelledBy &gt; 0</w:t>
            </w:r>
          </w:p>
        </w:tc>
        <w:tc>
          <w:tcPr>
            <w:tcW w:type="dxa" w:w="28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r>
              <w:rPr>
                <w:rFonts w:ascii="Arial" w:cs="Arial" w:eastAsia="Arial" w:hAnsi="Arial"/>
                <w:b/>
                <w:bCs/>
                <w:sz w:val="18"/>
                <w:szCs w:val="18"/>
              </w:rPr>
              <w:t xml:space="preserve">Invoice (Cancelled)</w:t>
            </w:r>
          </w:p>
        </w:tc>
      </w:tr>
    </w:tbl>
    <w:p>
      <w:pPr>
        <w:spacing w:before="300" w:after="80"/>
      </w:pPr>
    </w:p>
    <w:p>
      <w:pPr>
        <w:spacing w:before="60" w:after="100"/>
      </w:pPr>
      <w:r>
        <w:rPr>
          <w:rFonts w:ascii="Arial" w:cs="Arial" w:eastAsia="Arial" w:hAnsi="Arial"/>
          <w:sz w:val="22"/>
          <w:szCs w:val="22"/>
        </w:rPr>
        <w:t xml:space="preserve">Questions, issues, or anything that doesn't match expected results — trace back to the BAQ first, then to Report Builder. The BAQ is the foundation.</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before="0" w:after="120"/>
    </w:pPr>
    <w:r>
      <w:rPr>
        <w:rFonts w:ascii="Arial" w:cs="Arial" w:eastAsia="Arial" w:hAnsi="Arial"/>
        <w:color w:val="2E75B6"/>
        <w:sz w:val="18"/>
        <w:szCs w:val="18"/>
      </w:rPr>
      <w:t xml:space="preserve">Invoices by Province/State — Epicor Kinetic Build Guide</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2026-02-23T05:54:04.805Z</dcterms:created>
  <dcterms:modified xsi:type="dcterms:W3CDTF">2026-02-23T05:54:04.805Z</dcterms:modified>
</cp:coreProperties>
</file>

<file path=docProps/custom.xml><?xml version="1.0" encoding="utf-8"?>
<Properties xmlns="http://schemas.openxmlformats.org/officeDocument/2006/custom-properties" xmlns:vt="http://schemas.openxmlformats.org/officeDocument/2006/docPropsVTypes"/>
</file>