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10765" w14:textId="24FEA5A2" w:rsidR="003B40E2" w:rsidRPr="003550E8" w:rsidRDefault="003B40E2" w:rsidP="003B40E2">
      <w:pPr>
        <w:pStyle w:val="Heading2"/>
        <w:rPr>
          <w:rFonts w:asciiTheme="minorHAnsi" w:eastAsiaTheme="minorHAnsi" w:hAnsiTheme="minorHAnsi" w:cstheme="minorBidi"/>
          <w:color w:val="156082" w:themeColor="accent1"/>
          <w:sz w:val="28"/>
          <w:szCs w:val="28"/>
          <w:u w:val="single"/>
        </w:rPr>
      </w:pPr>
      <w:r w:rsidRPr="003550E8">
        <w:rPr>
          <w:rFonts w:asciiTheme="minorHAnsi" w:eastAsiaTheme="minorHAnsi" w:hAnsiTheme="minorHAnsi" w:cstheme="minorBidi"/>
          <w:color w:val="156082" w:themeColor="accent1"/>
          <w:sz w:val="28"/>
          <w:szCs w:val="28"/>
          <w:u w:val="single"/>
        </w:rPr>
        <w:t>Cohort Analysis</w:t>
      </w:r>
      <w:r w:rsidR="001B10B7">
        <w:rPr>
          <w:rFonts w:asciiTheme="minorHAnsi" w:eastAsiaTheme="minorHAnsi" w:hAnsiTheme="minorHAnsi" w:cstheme="minorBidi"/>
          <w:color w:val="156082" w:themeColor="accent1"/>
          <w:sz w:val="28"/>
          <w:szCs w:val="28"/>
          <w:u w:val="single"/>
        </w:rPr>
        <w:t xml:space="preserve">: </w:t>
      </w:r>
      <w:r w:rsidRPr="003550E8">
        <w:rPr>
          <w:rFonts w:asciiTheme="minorHAnsi" w:eastAsiaTheme="minorHAnsi" w:hAnsiTheme="minorHAnsi" w:cstheme="minorBidi"/>
          <w:color w:val="156082" w:themeColor="accent1"/>
          <w:sz w:val="28"/>
          <w:szCs w:val="28"/>
          <w:u w:val="single"/>
        </w:rPr>
        <w:t>Customer Retention Over Time</w:t>
      </w:r>
    </w:p>
    <w:p w14:paraId="3A256D88" w14:textId="149E8695" w:rsidR="003B40E2" w:rsidRPr="003550E8" w:rsidRDefault="003B40E2" w:rsidP="003550E8">
      <w:pPr>
        <w:spacing w:after="0"/>
        <w:rPr>
          <w:b/>
          <w:bCs/>
          <w:color w:val="156082" w:themeColor="accent1"/>
          <w:sz w:val="24"/>
          <w:szCs w:val="24"/>
        </w:rPr>
      </w:pPr>
      <w:r w:rsidRPr="003550E8">
        <w:rPr>
          <w:b/>
          <w:bCs/>
          <w:color w:val="156082" w:themeColor="accent1"/>
          <w:sz w:val="24"/>
          <w:szCs w:val="24"/>
        </w:rPr>
        <w:t>Objective</w:t>
      </w:r>
      <w:r w:rsidR="001B10B7">
        <w:rPr>
          <w:b/>
          <w:bCs/>
          <w:color w:val="156082" w:themeColor="accent1"/>
          <w:sz w:val="24"/>
          <w:szCs w:val="24"/>
        </w:rPr>
        <w:t>:</w:t>
      </w:r>
    </w:p>
    <w:p w14:paraId="7F61D697" w14:textId="7008973A" w:rsidR="003B40E2" w:rsidRPr="003B40E2" w:rsidRDefault="003B40E2" w:rsidP="001B10B7">
      <w:r w:rsidRPr="003B40E2">
        <w:t>To evaluate customer retention over time by grouping customers into monthly cohorts based on their first purchase date, and measuring how many customers return to make additional purchases in subsequent months. This analysis aims to quantify retention decay, identify long-term behavioural patterns, and assess whether customer quality improves across acquisition periods.</w:t>
      </w:r>
    </w:p>
    <w:p w14:paraId="67726AE5" w14:textId="209DB502" w:rsidR="003B40E2" w:rsidRPr="003550E8" w:rsidRDefault="003B40E2" w:rsidP="003550E8">
      <w:pPr>
        <w:spacing w:after="0"/>
        <w:rPr>
          <w:b/>
          <w:bCs/>
          <w:color w:val="156082" w:themeColor="accent1"/>
          <w:sz w:val="24"/>
          <w:szCs w:val="24"/>
        </w:rPr>
      </w:pPr>
      <w:r w:rsidRPr="003550E8">
        <w:rPr>
          <w:b/>
          <w:bCs/>
          <w:color w:val="156082" w:themeColor="accent1"/>
          <w:sz w:val="24"/>
          <w:szCs w:val="24"/>
        </w:rPr>
        <w:t>Approach</w:t>
      </w:r>
      <w:r w:rsidR="001B10B7">
        <w:rPr>
          <w:b/>
          <w:bCs/>
          <w:color w:val="156082" w:themeColor="accent1"/>
          <w:sz w:val="24"/>
          <w:szCs w:val="24"/>
        </w:rPr>
        <w:t>:</w:t>
      </w:r>
    </w:p>
    <w:p w14:paraId="2B7BBFC4" w14:textId="77777777" w:rsidR="003B40E2" w:rsidRPr="003B40E2" w:rsidRDefault="003B40E2" w:rsidP="003B40E2">
      <w:r w:rsidRPr="003B40E2">
        <w:t>Customers were assigned to cohorts according to the month of their first purchase. For each cohort, subsequent purchases were tracked using month-based date differences, allowing the calculation of retention by month number (e.g. month 1, month 2, month 3 after acquisition).</w:t>
      </w:r>
    </w:p>
    <w:p w14:paraId="3A69B8D2" w14:textId="69894F17" w:rsidR="003B40E2" w:rsidRPr="003B40E2" w:rsidRDefault="003B40E2" w:rsidP="003B40E2">
      <w:r w:rsidRPr="003B40E2">
        <w:t>For each cohort-month combination, the number of active customers was calculated and expressed as a percentage of the original cohort size to generate retention rates. This provides a longitudinal view of customer engagement over time rather than a single-point churn metric.</w:t>
      </w:r>
    </w:p>
    <w:p w14:paraId="0BF9DE62" w14:textId="0AD1172A" w:rsidR="00AB0D43" w:rsidRDefault="003B40E2" w:rsidP="00AB0D43">
      <w:pPr>
        <w:spacing w:after="0"/>
        <w:rPr>
          <w:b/>
          <w:bCs/>
          <w:color w:val="156082" w:themeColor="accent1"/>
          <w:sz w:val="24"/>
          <w:szCs w:val="24"/>
        </w:rPr>
      </w:pPr>
      <w:r w:rsidRPr="003550E8">
        <w:rPr>
          <w:b/>
          <w:bCs/>
          <w:color w:val="156082" w:themeColor="accent1"/>
          <w:sz w:val="24"/>
          <w:szCs w:val="24"/>
        </w:rPr>
        <w:t>Key Findings</w:t>
      </w:r>
      <w:r w:rsidR="00AB0D43">
        <w:rPr>
          <w:b/>
          <w:bCs/>
          <w:color w:val="156082" w:themeColor="accent1"/>
          <w:sz w:val="24"/>
          <w:szCs w:val="24"/>
        </w:rPr>
        <w:t>:</w:t>
      </w:r>
    </w:p>
    <w:p w14:paraId="1B5A3B09" w14:textId="77777777" w:rsidR="00AB0D43" w:rsidRPr="00AB0D43" w:rsidRDefault="003B40E2" w:rsidP="00AB0D43">
      <w:pPr>
        <w:pStyle w:val="ListParagraph"/>
        <w:numPr>
          <w:ilvl w:val="0"/>
          <w:numId w:val="3"/>
        </w:numPr>
        <w:spacing w:after="0"/>
        <w:rPr>
          <w:b/>
          <w:bCs/>
        </w:rPr>
      </w:pPr>
      <w:r w:rsidRPr="00AB0D43">
        <w:rPr>
          <w:b/>
          <w:bCs/>
        </w:rPr>
        <w:t>Early-stage retention is consistently extremely low across all cohorts.</w:t>
      </w:r>
    </w:p>
    <w:p w14:paraId="1AA76892" w14:textId="77777777" w:rsidR="00AB0D43" w:rsidRDefault="003B40E2" w:rsidP="00AB0D43">
      <w:pPr>
        <w:spacing w:after="0"/>
        <w:ind w:left="720"/>
        <w:rPr>
          <w:b/>
          <w:bCs/>
        </w:rPr>
      </w:pPr>
      <w:r w:rsidRPr="00AB0D43">
        <w:t xml:space="preserve">Across large cohorts (2017–2018), month 1 retention typically ranges between </w:t>
      </w:r>
      <w:r w:rsidRPr="00AB0D43">
        <w:rPr>
          <w:b/>
          <w:bCs/>
        </w:rPr>
        <w:t>0.3% and 0.7%</w:t>
      </w:r>
      <w:r w:rsidRPr="00AB0D43">
        <w:t>, meaning fewer than 1 in 150 customers return within the first month after their initial purchase. This confirms that most customers behave as one-time buyers.</w:t>
      </w:r>
    </w:p>
    <w:p w14:paraId="67569C7C" w14:textId="77777777" w:rsidR="00AB0D43" w:rsidRPr="00AB0D43" w:rsidRDefault="003B40E2" w:rsidP="003B40E2">
      <w:pPr>
        <w:pStyle w:val="ListParagraph"/>
        <w:numPr>
          <w:ilvl w:val="0"/>
          <w:numId w:val="3"/>
        </w:numPr>
        <w:spacing w:after="0"/>
        <w:rPr>
          <w:b/>
          <w:bCs/>
        </w:rPr>
      </w:pPr>
      <w:r w:rsidRPr="00AB0D43">
        <w:rPr>
          <w:b/>
          <w:bCs/>
        </w:rPr>
        <w:t>Retention decay is immediate rather than gradual.</w:t>
      </w:r>
      <w:r w:rsidRPr="003B40E2">
        <w:br/>
        <w:t>There is no evidence of a slow drop-off curve. Instead, customer engagement collapses almost immediately after acquisition, with retention remaining near-zero even at month 2 and month 3 for most cohorts. This supports the earlier churn and repeat-customer findings.</w:t>
      </w:r>
    </w:p>
    <w:p w14:paraId="271C4565" w14:textId="77777777" w:rsidR="00AB0D43" w:rsidRPr="00AB0D43" w:rsidRDefault="003B40E2" w:rsidP="003B40E2">
      <w:pPr>
        <w:pStyle w:val="ListParagraph"/>
        <w:numPr>
          <w:ilvl w:val="0"/>
          <w:numId w:val="3"/>
        </w:numPr>
        <w:spacing w:after="0"/>
        <w:rPr>
          <w:b/>
          <w:bCs/>
        </w:rPr>
      </w:pPr>
      <w:r w:rsidRPr="00AB0D43">
        <w:rPr>
          <w:b/>
          <w:bCs/>
        </w:rPr>
        <w:t>Later cohorts do not demonstrate structurally better retention.</w:t>
      </w:r>
      <w:r w:rsidRPr="003B40E2">
        <w:br/>
        <w:t>Although acquisition volume increases substantially over time (e.g. cohorts growing from hundreds in early 2017 to over 7,000 in late 2017 and 2018), retention rates do not improve meaningfully. This indicates that growth is driven by acquisition volume rather than improved customer quality.</w:t>
      </w:r>
    </w:p>
    <w:p w14:paraId="5AE56531" w14:textId="74E37304" w:rsidR="00AB0D43" w:rsidRPr="00AB0D43" w:rsidRDefault="003B40E2" w:rsidP="003B40E2">
      <w:pPr>
        <w:pStyle w:val="ListParagraph"/>
        <w:numPr>
          <w:ilvl w:val="0"/>
          <w:numId w:val="3"/>
        </w:numPr>
        <w:spacing w:after="0"/>
        <w:rPr>
          <w:b/>
          <w:bCs/>
        </w:rPr>
      </w:pPr>
      <w:r w:rsidRPr="00AB0D43">
        <w:rPr>
          <w:b/>
          <w:bCs/>
        </w:rPr>
        <w:t xml:space="preserve">A very </w:t>
      </w:r>
      <w:r w:rsidR="00AB0D43" w:rsidRPr="00AB0D43">
        <w:rPr>
          <w:b/>
          <w:bCs/>
        </w:rPr>
        <w:t>small, long</w:t>
      </w:r>
      <w:r w:rsidRPr="00AB0D43">
        <w:rPr>
          <w:b/>
          <w:bCs/>
        </w:rPr>
        <w:t>-tail of highly infrequent returning customers exists.</w:t>
      </w:r>
      <w:r w:rsidRPr="003B40E2">
        <w:br/>
        <w:t>Some cohorts (e.g. 2017-01, 2017-03, 2017-05) show isolated returns even 12–18 months after first purchase. However, these represent extremely small numbers (often 1–10 customers) and are statistically insignificant at scale. This suggests the presence of occasional reactivation rather than true loyalty.</w:t>
      </w:r>
    </w:p>
    <w:p w14:paraId="0B51BFEB" w14:textId="0C66B2C8" w:rsidR="003B40E2" w:rsidRPr="00AB0D43" w:rsidRDefault="003B40E2" w:rsidP="003B40E2">
      <w:pPr>
        <w:pStyle w:val="ListParagraph"/>
        <w:numPr>
          <w:ilvl w:val="0"/>
          <w:numId w:val="3"/>
        </w:numPr>
        <w:spacing w:after="0"/>
        <w:rPr>
          <w:b/>
          <w:bCs/>
        </w:rPr>
      </w:pPr>
      <w:r w:rsidRPr="00AB0D43">
        <w:rPr>
          <w:b/>
          <w:bCs/>
        </w:rPr>
        <w:t>Small early cohorts (2016) are not behaviourally representative.</w:t>
      </w:r>
      <w:r w:rsidRPr="003B40E2">
        <w:br/>
        <w:t>Cohorts from 2016 contain very few customers and display irregular retention patterns (e.g. 100% retention in tiny samples), making them unreliable for behavioural inference. The 2017–2018 cohorts provide the most meaningful insight.</w:t>
      </w:r>
    </w:p>
    <w:p w14:paraId="5A3C406F" w14:textId="54C0679F" w:rsidR="003B40E2" w:rsidRDefault="003B40E2" w:rsidP="003B40E2"/>
    <w:p w14:paraId="5D28F09C" w14:textId="77777777" w:rsidR="00AB0D43" w:rsidRDefault="00AB0D43" w:rsidP="003B40E2"/>
    <w:p w14:paraId="158F676D" w14:textId="77777777" w:rsidR="00AB0D43" w:rsidRPr="003B40E2" w:rsidRDefault="00AB0D43" w:rsidP="003B40E2"/>
    <w:p w14:paraId="47E952F8" w14:textId="77777777" w:rsidR="00AB0D43" w:rsidRDefault="00AB0D43" w:rsidP="003550E8">
      <w:pPr>
        <w:spacing w:after="0"/>
        <w:rPr>
          <w:b/>
          <w:bCs/>
          <w:color w:val="156082" w:themeColor="accent1"/>
          <w:sz w:val="24"/>
          <w:szCs w:val="24"/>
        </w:rPr>
      </w:pPr>
    </w:p>
    <w:p w14:paraId="4E77DC45" w14:textId="77777777" w:rsidR="00AB0D43" w:rsidRDefault="00AB0D43" w:rsidP="003550E8">
      <w:pPr>
        <w:spacing w:after="0"/>
        <w:rPr>
          <w:b/>
          <w:bCs/>
          <w:color w:val="156082" w:themeColor="accent1"/>
          <w:sz w:val="24"/>
          <w:szCs w:val="24"/>
        </w:rPr>
      </w:pPr>
    </w:p>
    <w:p w14:paraId="5480C6A7" w14:textId="5D20CD7B" w:rsidR="003B40E2" w:rsidRPr="003550E8" w:rsidRDefault="003B40E2" w:rsidP="003550E8">
      <w:pPr>
        <w:spacing w:after="0"/>
        <w:rPr>
          <w:b/>
          <w:bCs/>
          <w:color w:val="156082" w:themeColor="accent1"/>
          <w:sz w:val="24"/>
          <w:szCs w:val="24"/>
        </w:rPr>
      </w:pPr>
      <w:r w:rsidRPr="003550E8">
        <w:rPr>
          <w:b/>
          <w:bCs/>
          <w:color w:val="156082" w:themeColor="accent1"/>
          <w:sz w:val="24"/>
          <w:szCs w:val="24"/>
        </w:rPr>
        <w:lastRenderedPageBreak/>
        <w:t>Business Implications</w:t>
      </w:r>
    </w:p>
    <w:p w14:paraId="2E96282C" w14:textId="77777777" w:rsidR="00373F77" w:rsidRDefault="003B40E2" w:rsidP="003B40E2">
      <w:pPr>
        <w:pStyle w:val="ListParagraph"/>
        <w:numPr>
          <w:ilvl w:val="0"/>
          <w:numId w:val="4"/>
        </w:numPr>
      </w:pPr>
      <w:r w:rsidRPr="00373F77">
        <w:rPr>
          <w:b/>
          <w:bCs/>
        </w:rPr>
        <w:t>Customer acquisition is not translating into sustainable customer relationships.</w:t>
      </w:r>
      <w:r w:rsidRPr="003B40E2">
        <w:br/>
        <w:t>Despite strong acquisition growth, almost all customers disengage after their first purchase. This creates a structurally fragile business model reliant on constant new customer acquisition.</w:t>
      </w:r>
    </w:p>
    <w:p w14:paraId="52A8CBD8" w14:textId="77777777" w:rsidR="00373F77" w:rsidRDefault="003B40E2" w:rsidP="003B40E2">
      <w:pPr>
        <w:pStyle w:val="ListParagraph"/>
        <w:numPr>
          <w:ilvl w:val="0"/>
          <w:numId w:val="4"/>
        </w:numPr>
      </w:pPr>
      <w:r w:rsidRPr="00373F77">
        <w:rPr>
          <w:b/>
          <w:bCs/>
        </w:rPr>
        <w:t>Revenue is likely heavily dependent on first-order conversion rather than lifetime value.</w:t>
      </w:r>
      <w:r w:rsidRPr="003B40E2">
        <w:br/>
        <w:t>Given that long-term retention is negligible, the business is likely operating with extremely low customer lifetime value (CLV), increasing pressure on marketing efficiency and paid acquisition ROI.</w:t>
      </w:r>
    </w:p>
    <w:p w14:paraId="19938DAC" w14:textId="77777777" w:rsidR="00283956" w:rsidRDefault="003B40E2" w:rsidP="003B40E2">
      <w:pPr>
        <w:pStyle w:val="ListParagraph"/>
        <w:numPr>
          <w:ilvl w:val="0"/>
          <w:numId w:val="4"/>
        </w:numPr>
      </w:pPr>
      <w:r w:rsidRPr="00373F77">
        <w:rPr>
          <w:b/>
          <w:bCs/>
        </w:rPr>
        <w:t>The retention problem is systemic rather than cohort-specific.</w:t>
      </w:r>
      <w:r w:rsidRPr="003B40E2">
        <w:br/>
        <w:t>Because retention patterns remain consistently poor across all acquisition periods, this suggests structural issues in the value proposition, post-purchase experience, or incentive to return</w:t>
      </w:r>
      <w:r w:rsidR="00373F77">
        <w:t xml:space="preserve">; </w:t>
      </w:r>
      <w:r w:rsidRPr="003B40E2">
        <w:t>not just isolated campaign-level issues.</w:t>
      </w:r>
    </w:p>
    <w:p w14:paraId="377800AE" w14:textId="29B86148" w:rsidR="003B40E2" w:rsidRPr="003B40E2" w:rsidRDefault="003B40E2" w:rsidP="003B40E2">
      <w:pPr>
        <w:pStyle w:val="ListParagraph"/>
        <w:numPr>
          <w:ilvl w:val="0"/>
          <w:numId w:val="4"/>
        </w:numPr>
      </w:pPr>
      <w:r w:rsidRPr="00283956">
        <w:rPr>
          <w:b/>
          <w:bCs/>
        </w:rPr>
        <w:t>Occasional long-term reactivation exists but is commercially insignificant.</w:t>
      </w:r>
      <w:r w:rsidRPr="003B40E2">
        <w:br/>
        <w:t>While some customers return sporadically many months later, the scale is too small to meaningfully impact overall revenue or loyalty metrics.</w:t>
      </w:r>
    </w:p>
    <w:p w14:paraId="11BEEE2D" w14:textId="77777777" w:rsidR="003B40E2" w:rsidRPr="003550E8" w:rsidRDefault="003B40E2" w:rsidP="003550E8">
      <w:pPr>
        <w:spacing w:after="0"/>
        <w:rPr>
          <w:b/>
          <w:bCs/>
          <w:color w:val="156082" w:themeColor="accent1"/>
          <w:sz w:val="24"/>
          <w:szCs w:val="24"/>
        </w:rPr>
      </w:pPr>
      <w:r w:rsidRPr="003550E8">
        <w:rPr>
          <w:b/>
          <w:bCs/>
          <w:color w:val="156082" w:themeColor="accent1"/>
          <w:sz w:val="24"/>
          <w:szCs w:val="24"/>
        </w:rPr>
        <w:t>Recommendations</w:t>
      </w:r>
    </w:p>
    <w:p w14:paraId="1FA70903" w14:textId="77777777" w:rsidR="00283956" w:rsidRDefault="003B40E2" w:rsidP="003B40E2">
      <w:pPr>
        <w:pStyle w:val="ListParagraph"/>
        <w:numPr>
          <w:ilvl w:val="0"/>
          <w:numId w:val="5"/>
        </w:numPr>
      </w:pPr>
      <w:r w:rsidRPr="00283956">
        <w:rPr>
          <w:b/>
          <w:bCs/>
        </w:rPr>
        <w:t>Prioritise retention as a strategic growth lever rather than acquisition alone.</w:t>
      </w:r>
      <w:r w:rsidRPr="003B40E2">
        <w:br/>
        <w:t>Even small improvements in month 1 retention (e.g. from 0.5% to 3–5%) would generate substantial revenue uplift due to the large cohort sizes.</w:t>
      </w:r>
    </w:p>
    <w:p w14:paraId="2AEAAA03" w14:textId="77777777" w:rsidR="00283956" w:rsidRDefault="003B40E2" w:rsidP="00283956">
      <w:pPr>
        <w:pStyle w:val="ListParagraph"/>
        <w:numPr>
          <w:ilvl w:val="0"/>
          <w:numId w:val="5"/>
        </w:numPr>
      </w:pPr>
      <w:r w:rsidRPr="00283956">
        <w:rPr>
          <w:b/>
          <w:bCs/>
        </w:rPr>
        <w:t>Introduce structured post-purchase lifecycle interventions</w:t>
      </w:r>
      <w:r w:rsidRPr="003B40E2">
        <w:t>, such as:</w:t>
      </w:r>
    </w:p>
    <w:p w14:paraId="2A409DA6" w14:textId="77777777" w:rsidR="00283956" w:rsidRDefault="003B40E2" w:rsidP="00283956">
      <w:pPr>
        <w:pStyle w:val="ListParagraph"/>
        <w:numPr>
          <w:ilvl w:val="1"/>
          <w:numId w:val="5"/>
        </w:numPr>
      </w:pPr>
      <w:r w:rsidRPr="003B40E2">
        <w:t>Automated post-purchase email sequences</w:t>
      </w:r>
    </w:p>
    <w:p w14:paraId="06FA4FAE" w14:textId="77777777" w:rsidR="00283956" w:rsidRDefault="003B40E2" w:rsidP="00283956">
      <w:pPr>
        <w:pStyle w:val="ListParagraph"/>
        <w:numPr>
          <w:ilvl w:val="1"/>
          <w:numId w:val="5"/>
        </w:numPr>
      </w:pPr>
      <w:r w:rsidRPr="003B40E2">
        <w:t>Time-bound second-purchase discounts</w:t>
      </w:r>
    </w:p>
    <w:p w14:paraId="6785D64A" w14:textId="77777777" w:rsidR="00283956" w:rsidRDefault="003B40E2" w:rsidP="00283956">
      <w:pPr>
        <w:pStyle w:val="ListParagraph"/>
        <w:numPr>
          <w:ilvl w:val="1"/>
          <w:numId w:val="5"/>
        </w:numPr>
      </w:pPr>
      <w:r w:rsidRPr="003B40E2">
        <w:t>Personalised product recommendations</w:t>
      </w:r>
    </w:p>
    <w:p w14:paraId="56FEA125" w14:textId="15D92645" w:rsidR="00283956" w:rsidRPr="00283956" w:rsidRDefault="003B40E2" w:rsidP="00283956">
      <w:pPr>
        <w:pStyle w:val="ListParagraph"/>
        <w:numPr>
          <w:ilvl w:val="1"/>
          <w:numId w:val="5"/>
        </w:numPr>
      </w:pPr>
      <w:r w:rsidRPr="003B40E2">
        <w:t>Loyalty or rewards programmes</w:t>
      </w:r>
    </w:p>
    <w:p w14:paraId="3B2BC452" w14:textId="2A1A88CB" w:rsidR="003B40E2" w:rsidRPr="003B40E2" w:rsidRDefault="003B40E2" w:rsidP="00283956">
      <w:pPr>
        <w:pStyle w:val="ListParagraph"/>
        <w:numPr>
          <w:ilvl w:val="0"/>
          <w:numId w:val="5"/>
        </w:numPr>
      </w:pPr>
      <w:r w:rsidRPr="00283956">
        <w:rPr>
          <w:b/>
          <w:bCs/>
        </w:rPr>
        <w:t>Investigate barriers to repeat purchase</w:t>
      </w:r>
      <w:r w:rsidRPr="003B40E2">
        <w:t>, such as:</w:t>
      </w:r>
    </w:p>
    <w:p w14:paraId="19174892" w14:textId="77777777" w:rsidR="003B40E2" w:rsidRPr="003B40E2" w:rsidRDefault="003B40E2" w:rsidP="00283956">
      <w:pPr>
        <w:pStyle w:val="ListParagraph"/>
        <w:numPr>
          <w:ilvl w:val="1"/>
          <w:numId w:val="5"/>
        </w:numPr>
      </w:pPr>
      <w:r w:rsidRPr="003B40E2">
        <w:t>Delivery experience</w:t>
      </w:r>
    </w:p>
    <w:p w14:paraId="2D47C728" w14:textId="77777777" w:rsidR="003B40E2" w:rsidRPr="003B40E2" w:rsidRDefault="003B40E2" w:rsidP="00283956">
      <w:pPr>
        <w:pStyle w:val="ListParagraph"/>
        <w:numPr>
          <w:ilvl w:val="1"/>
          <w:numId w:val="5"/>
        </w:numPr>
      </w:pPr>
      <w:r w:rsidRPr="003B40E2">
        <w:t>Product quality consistency</w:t>
      </w:r>
    </w:p>
    <w:p w14:paraId="35B01343" w14:textId="77777777" w:rsidR="003B40E2" w:rsidRPr="003B40E2" w:rsidRDefault="003B40E2" w:rsidP="00283956">
      <w:pPr>
        <w:pStyle w:val="ListParagraph"/>
        <w:numPr>
          <w:ilvl w:val="1"/>
          <w:numId w:val="5"/>
        </w:numPr>
      </w:pPr>
      <w:r w:rsidRPr="003B40E2">
        <w:t>Trust in sellers (marketplace structure)</w:t>
      </w:r>
    </w:p>
    <w:p w14:paraId="131296B0" w14:textId="77777777" w:rsidR="00283956" w:rsidRDefault="003B40E2" w:rsidP="003B40E2">
      <w:pPr>
        <w:pStyle w:val="ListParagraph"/>
        <w:numPr>
          <w:ilvl w:val="1"/>
          <w:numId w:val="5"/>
        </w:numPr>
      </w:pPr>
      <w:r w:rsidRPr="003B40E2">
        <w:t>Price competitiveness compared to alternatives</w:t>
      </w:r>
    </w:p>
    <w:p w14:paraId="28FB86F9" w14:textId="29993F0A" w:rsidR="003B40E2" w:rsidRPr="003B40E2" w:rsidRDefault="003B40E2" w:rsidP="00283956">
      <w:pPr>
        <w:pStyle w:val="ListParagraph"/>
        <w:numPr>
          <w:ilvl w:val="0"/>
          <w:numId w:val="5"/>
        </w:numPr>
      </w:pPr>
      <w:r w:rsidRPr="00283956">
        <w:rPr>
          <w:b/>
          <w:bCs/>
        </w:rPr>
        <w:t>Use cohort tracking as an ongoing performance KPI.</w:t>
      </w:r>
      <w:r w:rsidRPr="003B40E2">
        <w:br/>
        <w:t xml:space="preserve">Cohort retention curves should be monitored monthly to evaluate whether product, marketing, or </w:t>
      </w:r>
      <w:r w:rsidR="003970EB">
        <w:t xml:space="preserve">user experience </w:t>
      </w:r>
      <w:r w:rsidRPr="003B40E2">
        <w:t>changes are genuinely improving customer quality over time.</w:t>
      </w:r>
    </w:p>
    <w:p w14:paraId="5766822A" w14:textId="77777777" w:rsidR="00446860" w:rsidRDefault="00446860"/>
    <w:sectPr w:rsidR="00446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313"/>
    <w:multiLevelType w:val="multilevel"/>
    <w:tmpl w:val="AE5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034"/>
    <w:multiLevelType w:val="hybridMultilevel"/>
    <w:tmpl w:val="0958F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DF162D"/>
    <w:multiLevelType w:val="hybridMultilevel"/>
    <w:tmpl w:val="62BE8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72402B"/>
    <w:multiLevelType w:val="multilevel"/>
    <w:tmpl w:val="DAD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74FC3"/>
    <w:multiLevelType w:val="hybridMultilevel"/>
    <w:tmpl w:val="59767E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2529480">
    <w:abstractNumId w:val="3"/>
  </w:num>
  <w:num w:numId="2" w16cid:durableId="1180706547">
    <w:abstractNumId w:val="0"/>
  </w:num>
  <w:num w:numId="3" w16cid:durableId="215509762">
    <w:abstractNumId w:val="4"/>
  </w:num>
  <w:num w:numId="4" w16cid:durableId="1643732781">
    <w:abstractNumId w:val="1"/>
  </w:num>
  <w:num w:numId="5" w16cid:durableId="1709064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E2"/>
    <w:rsid w:val="001B10B7"/>
    <w:rsid w:val="00283956"/>
    <w:rsid w:val="003550E8"/>
    <w:rsid w:val="00373F77"/>
    <w:rsid w:val="003970EB"/>
    <w:rsid w:val="003B40E2"/>
    <w:rsid w:val="004305C5"/>
    <w:rsid w:val="00446860"/>
    <w:rsid w:val="006A78F9"/>
    <w:rsid w:val="00AB0D43"/>
    <w:rsid w:val="00E3257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107B"/>
  <w15:chartTrackingRefBased/>
  <w15:docId w15:val="{360BC63B-D37B-43E6-B78F-B890FFE5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0E2"/>
    <w:rPr>
      <w:rFonts w:eastAsiaTheme="majorEastAsia" w:cstheme="majorBidi"/>
      <w:color w:val="272727" w:themeColor="text1" w:themeTint="D8"/>
    </w:rPr>
  </w:style>
  <w:style w:type="paragraph" w:styleId="Title">
    <w:name w:val="Title"/>
    <w:basedOn w:val="Normal"/>
    <w:next w:val="Normal"/>
    <w:link w:val="TitleChar"/>
    <w:uiPriority w:val="10"/>
    <w:qFormat/>
    <w:rsid w:val="003B4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0E2"/>
    <w:pPr>
      <w:spacing w:before="160"/>
      <w:jc w:val="center"/>
    </w:pPr>
    <w:rPr>
      <w:i/>
      <w:iCs/>
      <w:color w:val="404040" w:themeColor="text1" w:themeTint="BF"/>
    </w:rPr>
  </w:style>
  <w:style w:type="character" w:customStyle="1" w:styleId="QuoteChar">
    <w:name w:val="Quote Char"/>
    <w:basedOn w:val="DefaultParagraphFont"/>
    <w:link w:val="Quote"/>
    <w:uiPriority w:val="29"/>
    <w:rsid w:val="003B40E2"/>
    <w:rPr>
      <w:i/>
      <w:iCs/>
      <w:color w:val="404040" w:themeColor="text1" w:themeTint="BF"/>
    </w:rPr>
  </w:style>
  <w:style w:type="paragraph" w:styleId="ListParagraph">
    <w:name w:val="List Paragraph"/>
    <w:basedOn w:val="Normal"/>
    <w:uiPriority w:val="34"/>
    <w:qFormat/>
    <w:rsid w:val="003B40E2"/>
    <w:pPr>
      <w:ind w:left="720"/>
      <w:contextualSpacing/>
    </w:pPr>
  </w:style>
  <w:style w:type="character" w:styleId="IntenseEmphasis">
    <w:name w:val="Intense Emphasis"/>
    <w:basedOn w:val="DefaultParagraphFont"/>
    <w:uiPriority w:val="21"/>
    <w:qFormat/>
    <w:rsid w:val="003B40E2"/>
    <w:rPr>
      <w:i/>
      <w:iCs/>
      <w:color w:val="0F4761" w:themeColor="accent1" w:themeShade="BF"/>
    </w:rPr>
  </w:style>
  <w:style w:type="paragraph" w:styleId="IntenseQuote">
    <w:name w:val="Intense Quote"/>
    <w:basedOn w:val="Normal"/>
    <w:next w:val="Normal"/>
    <w:link w:val="IntenseQuoteChar"/>
    <w:uiPriority w:val="30"/>
    <w:qFormat/>
    <w:rsid w:val="003B4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0E2"/>
    <w:rPr>
      <w:i/>
      <w:iCs/>
      <w:color w:val="0F4761" w:themeColor="accent1" w:themeShade="BF"/>
    </w:rPr>
  </w:style>
  <w:style w:type="character" w:styleId="IntenseReference">
    <w:name w:val="Intense Reference"/>
    <w:basedOn w:val="DefaultParagraphFont"/>
    <w:uiPriority w:val="32"/>
    <w:qFormat/>
    <w:rsid w:val="003B4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901590">
      <w:bodyDiv w:val="1"/>
      <w:marLeft w:val="0"/>
      <w:marRight w:val="0"/>
      <w:marTop w:val="0"/>
      <w:marBottom w:val="0"/>
      <w:divBdr>
        <w:top w:val="none" w:sz="0" w:space="0" w:color="auto"/>
        <w:left w:val="none" w:sz="0" w:space="0" w:color="auto"/>
        <w:bottom w:val="none" w:sz="0" w:space="0" w:color="auto"/>
        <w:right w:val="none" w:sz="0" w:space="0" w:color="auto"/>
      </w:divBdr>
    </w:div>
    <w:div w:id="176595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Lishani Srikaran</dc:creator>
  <cp:keywords/>
  <dc:description/>
  <cp:lastModifiedBy>Lishani Srikaran</cp:lastModifiedBy>
  <cp:revision>7</cp:revision>
  <dcterms:created xsi:type="dcterms:W3CDTF">2026-01-14T07:02:00Z</dcterms:created>
  <dcterms:modified xsi:type="dcterms:W3CDTF">2026-01-14T21:17:00Z</dcterms:modified>
</cp:coreProperties>
</file>