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AFAD3" w14:textId="77777777" w:rsidR="001F4A16" w:rsidRPr="001F4A16" w:rsidRDefault="001F4A16" w:rsidP="001F4A16">
      <w:pPr>
        <w:spacing w:after="0"/>
        <w:rPr>
          <w:color w:val="156082" w:themeColor="accent1"/>
          <w:sz w:val="28"/>
          <w:szCs w:val="28"/>
          <w:u w:val="single"/>
        </w:rPr>
      </w:pPr>
      <w:r w:rsidRPr="001F4A16">
        <w:rPr>
          <w:color w:val="156082" w:themeColor="accent1"/>
          <w:sz w:val="28"/>
          <w:szCs w:val="28"/>
          <w:u w:val="single"/>
        </w:rPr>
        <w:t>Revenue &amp; Order Performance Written Analysis</w:t>
      </w:r>
    </w:p>
    <w:p w14:paraId="7E69F794" w14:textId="77777777" w:rsidR="001F4A16" w:rsidRDefault="001F4A16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38B5749A" w14:textId="7C204E54" w:rsidR="001F4A16" w:rsidRPr="001F4A16" w:rsidRDefault="001F4A16" w:rsidP="001F4A16">
      <w:pPr>
        <w:spacing w:after="0"/>
      </w:pPr>
      <w:r w:rsidRPr="001F4A16">
        <w:rPr>
          <w:b/>
          <w:bCs/>
          <w:color w:val="156082" w:themeColor="accent1"/>
          <w:sz w:val="24"/>
          <w:szCs w:val="24"/>
        </w:rPr>
        <w:t>Objective:</w:t>
      </w:r>
      <w:r w:rsidRPr="001F4A16">
        <w:br/>
        <w:t>To evaluate monthly revenue and order trends and quantify month-over-month (MoM) growth in order to identify growth patterns, seasonality, and performance volatility that may impact strategic decision-making.</w:t>
      </w:r>
    </w:p>
    <w:p w14:paraId="75ED3B90" w14:textId="77777777" w:rsidR="001F4A16" w:rsidRDefault="001F4A16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24470CD7" w14:textId="424BEDC3" w:rsidR="001F4A16" w:rsidRPr="001F4A16" w:rsidRDefault="001F4A16" w:rsidP="001F4A16">
      <w:pPr>
        <w:spacing w:after="0"/>
      </w:pPr>
      <w:r w:rsidRPr="001F4A16">
        <w:rPr>
          <w:b/>
          <w:bCs/>
          <w:color w:val="156082" w:themeColor="accent1"/>
          <w:sz w:val="24"/>
          <w:szCs w:val="24"/>
        </w:rPr>
        <w:t>Approach:</w:t>
      </w:r>
      <w:r w:rsidRPr="001F4A16">
        <w:br/>
        <w:t>Using advanced SQL techniques, transaction data was aggregated at a monthly level. For each month, total orders and total revenue were calculated, alongside prior-month comparisons to derive MoM growth percentages for both metrics.</w:t>
      </w:r>
    </w:p>
    <w:p w14:paraId="54C4663A" w14:textId="1643AAF2" w:rsidR="001F4A16" w:rsidRPr="001F4A16" w:rsidRDefault="001F4A16" w:rsidP="001F4A16">
      <w:pPr>
        <w:spacing w:after="0"/>
      </w:pPr>
      <w:r w:rsidRPr="001F4A16">
        <w:rPr>
          <w:b/>
          <w:bCs/>
        </w:rPr>
        <w:t>Note:</w:t>
      </w:r>
      <w:r w:rsidRPr="001F4A16">
        <w:t xml:space="preserve"> Month-over-month calculations are based on a complete monthly calendar. Months with zero orders are explicitly included to preserve accurate MoM comparisons and avoid misleading growth </w:t>
      </w:r>
      <w:r w:rsidR="00442500" w:rsidRPr="001F4A16">
        <w:t>items</w:t>
      </w:r>
      <w:r w:rsidRPr="001F4A16">
        <w:t>.</w:t>
      </w:r>
    </w:p>
    <w:p w14:paraId="556CFF76" w14:textId="77777777" w:rsidR="001F4A16" w:rsidRDefault="001F4A16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3287C43C" w14:textId="77777777" w:rsidR="003F4B73" w:rsidRDefault="001F4A16" w:rsidP="001F4A16">
      <w:pPr>
        <w:spacing w:after="0"/>
        <w:rPr>
          <w:b/>
          <w:bCs/>
          <w:color w:val="156082" w:themeColor="accent1"/>
          <w:sz w:val="24"/>
          <w:szCs w:val="24"/>
        </w:rPr>
      </w:pPr>
      <w:r w:rsidRPr="001F4A16">
        <w:rPr>
          <w:b/>
          <w:bCs/>
          <w:color w:val="156082" w:themeColor="accent1"/>
          <w:sz w:val="24"/>
          <w:szCs w:val="24"/>
        </w:rPr>
        <w:t>Key Findings:</w:t>
      </w:r>
    </w:p>
    <w:p w14:paraId="50742A1E" w14:textId="77777777" w:rsidR="003F4B73" w:rsidRDefault="003F4B73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6ACD3BD2" w14:textId="5574ACCC" w:rsidR="00FD48E7" w:rsidRDefault="003F4B73" w:rsidP="001F4A16">
      <w:pPr>
        <w:spacing w:after="0"/>
      </w:pPr>
      <w:r w:rsidRPr="003F4B73">
        <w:rPr>
          <w:noProof/>
        </w:rPr>
        <w:drawing>
          <wp:inline distT="0" distB="0" distL="0" distR="0" wp14:anchorId="7DB3CCB2" wp14:editId="5905FAD5">
            <wp:extent cx="5731510" cy="2784475"/>
            <wp:effectExtent l="0" t="0" r="2540" b="0"/>
            <wp:docPr id="190666553" name="Picture 1" descr="A graph with blue and orang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6553" name="Picture 1" descr="A graph with blue and orange line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B5AF" w14:textId="77777777" w:rsidR="00FD48E7" w:rsidRDefault="001F4A16" w:rsidP="00FD48E7">
      <w:pPr>
        <w:pStyle w:val="ListParagraph"/>
        <w:numPr>
          <w:ilvl w:val="0"/>
          <w:numId w:val="5"/>
        </w:numPr>
        <w:spacing w:after="0"/>
      </w:pPr>
      <w:r w:rsidRPr="001F4A16">
        <w:t>The business experienced rapid growth throughout 2017, with sustained increases in both orders and revenue, indicating successful customer acquisition and scaling.</w:t>
      </w:r>
    </w:p>
    <w:p w14:paraId="3A16F91E" w14:textId="188A35DF" w:rsidR="00FD48E7" w:rsidRDefault="001F4A16" w:rsidP="00FD48E7">
      <w:pPr>
        <w:pStyle w:val="ListParagraph"/>
        <w:numPr>
          <w:ilvl w:val="0"/>
          <w:numId w:val="5"/>
        </w:numPr>
        <w:spacing w:after="0"/>
      </w:pPr>
      <w:r w:rsidRPr="001F4A16">
        <w:t>Seasonal demand peaks are evident in Q4, particularly November</w:t>
      </w:r>
      <w:r w:rsidR="00374215">
        <w:t xml:space="preserve"> 2017</w:t>
      </w:r>
      <w:r w:rsidRPr="001F4A16">
        <w:t xml:space="preserve">, followed by sharp post-peak declines in December </w:t>
      </w:r>
      <w:r w:rsidR="00374215">
        <w:t xml:space="preserve">2017 </w:t>
      </w:r>
      <w:r w:rsidRPr="001F4A16">
        <w:t>and early Q1</w:t>
      </w:r>
      <w:r w:rsidR="00374215">
        <w:t xml:space="preserve"> 2018</w:t>
      </w:r>
      <w:r w:rsidRPr="001F4A16">
        <w:t>.</w:t>
      </w:r>
    </w:p>
    <w:p w14:paraId="7C02C05A" w14:textId="56EA99BE" w:rsidR="003F4B73" w:rsidRDefault="003F4B73" w:rsidP="003F4B73">
      <w:pPr>
        <w:spacing w:after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18F91A" wp14:editId="2900B940">
                <wp:simplePos x="0" y="0"/>
                <wp:positionH relativeFrom="column">
                  <wp:posOffset>4145280</wp:posOffset>
                </wp:positionH>
                <wp:positionV relativeFrom="paragraph">
                  <wp:posOffset>1634490</wp:posOffset>
                </wp:positionV>
                <wp:extent cx="148590" cy="285750"/>
                <wp:effectExtent l="38100" t="0" r="22860" b="57150"/>
                <wp:wrapNone/>
                <wp:docPr id="131986129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8590" cy="2857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52CA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6.4pt;margin-top:128.7pt;width:11.7pt;height:22.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" strokecolor="black [3200]" strokeweight="1.5pt">
                <v:stroke endarrow="block" joinstyle="miter"/>
              </v:shape>
            </w:pict>
          </mc:Fallback>
        </mc:AlternateContent>
      </w:r>
      <w:r w:rsidRPr="003F4B73">
        <w:rPr>
          <w:noProof/>
        </w:rPr>
        <w:drawing>
          <wp:inline distT="0" distB="0" distL="0" distR="0" wp14:anchorId="31DA466E" wp14:editId="4DD2A3D0">
            <wp:extent cx="5731510" cy="2815590"/>
            <wp:effectExtent l="0" t="0" r="2540" b="3810"/>
            <wp:docPr id="1222174379" name="Picture 1" descr="A graph with red green and black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74379" name="Picture 1" descr="A graph with red green and black square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BC18" w14:textId="2E58109C" w:rsidR="003F4B73" w:rsidRDefault="003F4B73" w:rsidP="003F4B73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81FF47" wp14:editId="458B873B">
                <wp:simplePos x="0" y="0"/>
                <wp:positionH relativeFrom="column">
                  <wp:posOffset>4122420</wp:posOffset>
                </wp:positionH>
                <wp:positionV relativeFrom="paragraph">
                  <wp:posOffset>1750695</wp:posOffset>
                </wp:positionV>
                <wp:extent cx="148590" cy="285750"/>
                <wp:effectExtent l="38100" t="0" r="22860" b="57150"/>
                <wp:wrapNone/>
                <wp:docPr id="155980246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8590" cy="2857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78F0C2" id="Straight Arrow Connector 1" o:spid="_x0000_s1026" type="#_x0000_t32" style="position:absolute;margin-left:324.6pt;margin-top:137.85pt;width:11.7pt;height:22.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Pr="003F4B73">
        <w:rPr>
          <w:noProof/>
        </w:rPr>
        <w:drawing>
          <wp:inline distT="0" distB="0" distL="0" distR="0" wp14:anchorId="4727AA98" wp14:editId="658C7BBE">
            <wp:extent cx="5731510" cy="2874645"/>
            <wp:effectExtent l="0" t="0" r="2540" b="1905"/>
            <wp:docPr id="1101748143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8143" name="Picture 1" descr="A screenshot of a graph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9FE7" w14:textId="2C61C3FE" w:rsidR="00FD48E7" w:rsidRDefault="001F4A16" w:rsidP="00FD48E7">
      <w:pPr>
        <w:pStyle w:val="ListParagraph"/>
        <w:numPr>
          <w:ilvl w:val="0"/>
          <w:numId w:val="5"/>
        </w:numPr>
        <w:spacing w:after="0"/>
      </w:pPr>
      <w:r w:rsidRPr="001F4A16">
        <w:t>Periods where revenue growth outpaces order growth (e.g., March 2018) suggest improvements in average order value, potentially driven by pricing, product mix, or promotional strategies.</w:t>
      </w:r>
    </w:p>
    <w:p w14:paraId="0BB0C2E5" w14:textId="3A007E05" w:rsidR="00630F49" w:rsidRDefault="00630F49" w:rsidP="00630F49">
      <w:pPr>
        <w:spacing w:after="0"/>
      </w:pPr>
      <w:r w:rsidRPr="00630F49">
        <w:rPr>
          <w:noProof/>
        </w:rPr>
        <w:lastRenderedPageBreak/>
        <w:drawing>
          <wp:inline distT="0" distB="0" distL="0" distR="0" wp14:anchorId="3FEF492D" wp14:editId="2AFFA326">
            <wp:extent cx="5731510" cy="3244850"/>
            <wp:effectExtent l="0" t="0" r="2540" b="0"/>
            <wp:docPr id="1206281562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281562" name="Picture 1" descr="A screenshot of a graph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10274" w14:textId="5B860E83" w:rsidR="00630F49" w:rsidRDefault="00630F49" w:rsidP="00630F49">
      <w:pPr>
        <w:spacing w:after="0"/>
      </w:pPr>
      <w:r w:rsidRPr="00630F49">
        <w:rPr>
          <w:noProof/>
        </w:rPr>
        <w:drawing>
          <wp:inline distT="0" distB="0" distL="0" distR="0" wp14:anchorId="40E7915B" wp14:editId="00EAFCCF">
            <wp:extent cx="5731510" cy="3375025"/>
            <wp:effectExtent l="0" t="0" r="2540" b="0"/>
            <wp:docPr id="819224743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24743" name="Picture 1" descr="A screenshot of a graph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FADB" w14:textId="77777777" w:rsidR="00FD48E7" w:rsidRDefault="001F4A16" w:rsidP="00FD48E7">
      <w:pPr>
        <w:pStyle w:val="ListParagraph"/>
        <w:numPr>
          <w:ilvl w:val="0"/>
          <w:numId w:val="5"/>
        </w:numPr>
        <w:spacing w:after="0"/>
      </w:pPr>
      <w:r w:rsidRPr="001F4A16">
        <w:t>Several extreme MoM changes, particularly in early periods, reflect base-effect dynamics common in early-stage growth rather than data quality issues, with volatility normalising as scale increases.</w:t>
      </w:r>
    </w:p>
    <w:p w14:paraId="0D929BE9" w14:textId="541D8667" w:rsidR="001F4A16" w:rsidRPr="001F4A16" w:rsidRDefault="001F4A16" w:rsidP="00FD48E7">
      <w:pPr>
        <w:pStyle w:val="ListParagraph"/>
        <w:numPr>
          <w:ilvl w:val="0"/>
          <w:numId w:val="5"/>
        </w:numPr>
        <w:spacing w:after="0"/>
      </w:pPr>
      <w:r w:rsidRPr="001F4A16">
        <w:t>From mid-2018 onwards, growth begins to stabilise and flatten, indicating a transition from high-growth expansion to a more mature operating phase.</w:t>
      </w:r>
    </w:p>
    <w:p w14:paraId="4A0727C3" w14:textId="77777777" w:rsidR="001F4A16" w:rsidRDefault="001F4A16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7E94A0CD" w14:textId="77777777" w:rsidR="00334B7E" w:rsidRDefault="00334B7E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73164302" w14:textId="77777777" w:rsidR="00334B7E" w:rsidRDefault="00334B7E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2E44F58E" w14:textId="77777777" w:rsidR="00334B7E" w:rsidRDefault="00334B7E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0E632D4D" w14:textId="77777777" w:rsidR="00334B7E" w:rsidRDefault="00334B7E" w:rsidP="001F4A16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7D0DFB29" w14:textId="268D1B75" w:rsidR="00FD48E7" w:rsidRDefault="001F4A16" w:rsidP="001F4A16">
      <w:pPr>
        <w:spacing w:after="0"/>
      </w:pPr>
      <w:r w:rsidRPr="001F4A16">
        <w:rPr>
          <w:b/>
          <w:bCs/>
          <w:color w:val="156082" w:themeColor="accent1"/>
          <w:sz w:val="24"/>
          <w:szCs w:val="24"/>
        </w:rPr>
        <w:lastRenderedPageBreak/>
        <w:t>Business Implications:</w:t>
      </w:r>
      <w:r w:rsidRPr="001F4A16">
        <w:br/>
      </w:r>
    </w:p>
    <w:p w14:paraId="1D4C6CCA" w14:textId="77777777" w:rsidR="00334B7E" w:rsidRPr="00334B7E" w:rsidRDefault="00334B7E" w:rsidP="00334B7E">
      <w:pPr>
        <w:numPr>
          <w:ilvl w:val="0"/>
          <w:numId w:val="8"/>
        </w:numPr>
        <w:spacing w:after="0"/>
      </w:pPr>
      <w:r w:rsidRPr="00334B7E">
        <w:rPr>
          <w:b/>
          <w:bCs/>
        </w:rPr>
        <w:t>Incorporate seasonality and volatility into planning.</w:t>
      </w:r>
      <w:r w:rsidRPr="00334B7E">
        <w:t xml:space="preserve"> Forecasting models should explicitly account for Q4 peaks and post-peak slowdowns, as well as early-stage base effects, to avoid overstating expected performance and to improve budget accuracy.</w:t>
      </w:r>
    </w:p>
    <w:p w14:paraId="17F6517C" w14:textId="77777777" w:rsidR="00334B7E" w:rsidRPr="00334B7E" w:rsidRDefault="00334B7E" w:rsidP="00334B7E">
      <w:pPr>
        <w:numPr>
          <w:ilvl w:val="0"/>
          <w:numId w:val="8"/>
        </w:numPr>
        <w:spacing w:after="0"/>
      </w:pPr>
      <w:r w:rsidRPr="00334B7E">
        <w:rPr>
          <w:b/>
          <w:bCs/>
        </w:rPr>
        <w:t>Align marketing and inventory with seasonal demand.</w:t>
      </w:r>
      <w:r w:rsidRPr="00334B7E">
        <w:t xml:space="preserve"> Marketing investment, promotional intensity, and stock availability should be weighted toward historically strong months (e.g. Q4), while quieter periods can be used for testing, optimisation, and efficiency-focused initiatives.</w:t>
      </w:r>
    </w:p>
    <w:p w14:paraId="5FA0BC31" w14:textId="77777777" w:rsidR="00334B7E" w:rsidRPr="00334B7E" w:rsidRDefault="00334B7E" w:rsidP="00334B7E">
      <w:pPr>
        <w:numPr>
          <w:ilvl w:val="0"/>
          <w:numId w:val="8"/>
        </w:numPr>
        <w:spacing w:after="0"/>
      </w:pPr>
      <w:r w:rsidRPr="00334B7E">
        <w:rPr>
          <w:b/>
          <w:bCs/>
        </w:rPr>
        <w:t>Use divergence between revenue and order growth as a diagnostic signal.</w:t>
      </w:r>
      <w:r w:rsidRPr="00334B7E">
        <w:t xml:space="preserve"> Months where revenue growth exceeds order growth should be analysed to identify successful pricing, product mix, or promotional strategies that can be replicated.</w:t>
      </w:r>
    </w:p>
    <w:p w14:paraId="34607BD8" w14:textId="77777777" w:rsidR="00334B7E" w:rsidRPr="00334B7E" w:rsidRDefault="00334B7E" w:rsidP="00334B7E">
      <w:pPr>
        <w:numPr>
          <w:ilvl w:val="0"/>
          <w:numId w:val="8"/>
        </w:numPr>
        <w:spacing w:after="0"/>
      </w:pPr>
      <w:r w:rsidRPr="00334B7E">
        <w:rPr>
          <w:b/>
          <w:bCs/>
        </w:rPr>
        <w:t>Adapt strategy as growth matures.</w:t>
      </w:r>
      <w:r w:rsidRPr="00334B7E">
        <w:t xml:space="preserve"> The post-2018 flattening trend suggests a shift from high-growth expansion to a more mature phase. Strategic focus should therefore move away from pure acquisition and toward retention, increasing average order value, and maximising customer lifetime value.</w:t>
      </w:r>
    </w:p>
    <w:p w14:paraId="747BD15A" w14:textId="77777777" w:rsidR="00334B7E" w:rsidRPr="00334B7E" w:rsidRDefault="00334B7E" w:rsidP="00334B7E">
      <w:pPr>
        <w:numPr>
          <w:ilvl w:val="0"/>
          <w:numId w:val="8"/>
        </w:numPr>
        <w:spacing w:after="0"/>
      </w:pPr>
      <w:r w:rsidRPr="00334B7E">
        <w:rPr>
          <w:b/>
          <w:bCs/>
        </w:rPr>
        <w:t>Establish ongoing performance monitoring.</w:t>
      </w:r>
      <w:r w:rsidRPr="00334B7E">
        <w:t xml:space="preserve"> Regular tracking of MoM trends, growth drivers, and anomalies will enable earlier identification of shifts in customer behaviour, seasonality changes, or structural slowdowns, supporting more proactive decision-making.</w:t>
      </w:r>
    </w:p>
    <w:p w14:paraId="4D1B5943" w14:textId="77777777" w:rsidR="00334B7E" w:rsidRPr="00334B7E" w:rsidRDefault="00334B7E" w:rsidP="00334B7E">
      <w:pPr>
        <w:spacing w:after="0"/>
      </w:pPr>
      <w:r w:rsidRPr="00334B7E">
        <w:rPr>
          <w:b/>
          <w:bCs/>
        </w:rPr>
        <w:t>Summary:</w:t>
      </w:r>
      <w:r w:rsidRPr="00334B7E">
        <w:br/>
        <w:t>Sustainable growth will increasingly depend on optimising commercial levers such as retention, basket size, and seasonal execution, rather than relying on acquisition-led expansion alone.</w:t>
      </w:r>
    </w:p>
    <w:p w14:paraId="2A904E14" w14:textId="77777777" w:rsidR="00446860" w:rsidRDefault="00446860" w:rsidP="001F4A16">
      <w:pPr>
        <w:spacing w:after="0"/>
      </w:pPr>
    </w:p>
    <w:sectPr w:rsidR="004468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480703"/>
    <w:multiLevelType w:val="hybridMultilevel"/>
    <w:tmpl w:val="44B2F5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575430"/>
    <w:multiLevelType w:val="hybridMultilevel"/>
    <w:tmpl w:val="1EC00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A55DC6"/>
    <w:multiLevelType w:val="hybridMultilevel"/>
    <w:tmpl w:val="83909B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EF64C7"/>
    <w:multiLevelType w:val="hybridMultilevel"/>
    <w:tmpl w:val="D6D06E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63289"/>
    <w:multiLevelType w:val="hybridMultilevel"/>
    <w:tmpl w:val="0136D3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C6058"/>
    <w:multiLevelType w:val="multilevel"/>
    <w:tmpl w:val="A394D390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67601A37"/>
    <w:multiLevelType w:val="multilevel"/>
    <w:tmpl w:val="EC4CC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435C7C"/>
    <w:multiLevelType w:val="hybridMultilevel"/>
    <w:tmpl w:val="B81A6B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9228293">
    <w:abstractNumId w:val="4"/>
  </w:num>
  <w:num w:numId="2" w16cid:durableId="131486840">
    <w:abstractNumId w:val="3"/>
  </w:num>
  <w:num w:numId="3" w16cid:durableId="507595572">
    <w:abstractNumId w:val="7"/>
  </w:num>
  <w:num w:numId="4" w16cid:durableId="2051102070">
    <w:abstractNumId w:val="5"/>
  </w:num>
  <w:num w:numId="5" w16cid:durableId="737438440">
    <w:abstractNumId w:val="1"/>
  </w:num>
  <w:num w:numId="6" w16cid:durableId="1613854054">
    <w:abstractNumId w:val="0"/>
  </w:num>
  <w:num w:numId="7" w16cid:durableId="380600172">
    <w:abstractNumId w:val="2"/>
  </w:num>
  <w:num w:numId="8" w16cid:durableId="13707664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1BB"/>
    <w:rsid w:val="001F4A16"/>
    <w:rsid w:val="00334B7E"/>
    <w:rsid w:val="00374215"/>
    <w:rsid w:val="00391E80"/>
    <w:rsid w:val="003F4B73"/>
    <w:rsid w:val="00442500"/>
    <w:rsid w:val="00446860"/>
    <w:rsid w:val="005251BB"/>
    <w:rsid w:val="00630F49"/>
    <w:rsid w:val="007E7E05"/>
    <w:rsid w:val="008073DB"/>
    <w:rsid w:val="00B24013"/>
    <w:rsid w:val="00BB4E17"/>
    <w:rsid w:val="00E3257D"/>
    <w:rsid w:val="00FD48E7"/>
    <w:rsid w:val="00FE4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68B3"/>
  <w15:chartTrackingRefBased/>
  <w15:docId w15:val="{FB1E6DF8-BA40-4269-B511-B151B2C5C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1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80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Lishani Srikaran</dc:creator>
  <cp:keywords/>
  <dc:description/>
  <cp:lastModifiedBy>Lishani Srikaran</cp:lastModifiedBy>
  <cp:revision>8</cp:revision>
  <dcterms:created xsi:type="dcterms:W3CDTF">2026-01-03T15:10:00Z</dcterms:created>
  <dcterms:modified xsi:type="dcterms:W3CDTF">2026-01-24T19:42:00Z</dcterms:modified>
</cp:coreProperties>
</file>