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3AFAD3" w14:textId="77777777" w:rsidR="001F4A16" w:rsidRPr="001F4A16" w:rsidRDefault="001F4A16" w:rsidP="001F4A16">
      <w:pPr>
        <w:spacing w:after="0"/>
        <w:rPr>
          <w:color w:val="156082" w:themeColor="accent1"/>
          <w:sz w:val="28"/>
          <w:szCs w:val="28"/>
          <w:u w:val="single"/>
        </w:rPr>
      </w:pPr>
      <w:r w:rsidRPr="001F4A16">
        <w:rPr>
          <w:color w:val="156082" w:themeColor="accent1"/>
          <w:sz w:val="28"/>
          <w:szCs w:val="28"/>
          <w:u w:val="single"/>
        </w:rPr>
        <w:t>Revenue &amp; Order Performance Written Analysis</w:t>
      </w:r>
    </w:p>
    <w:p w14:paraId="7E69F794" w14:textId="77777777" w:rsidR="001F4A16" w:rsidRDefault="001F4A16" w:rsidP="001F4A16">
      <w:pPr>
        <w:spacing w:after="0"/>
        <w:rPr>
          <w:b/>
          <w:bCs/>
          <w:color w:val="156082" w:themeColor="accent1"/>
          <w:sz w:val="24"/>
          <w:szCs w:val="24"/>
        </w:rPr>
      </w:pPr>
    </w:p>
    <w:p w14:paraId="38B5749A" w14:textId="7C204E54" w:rsidR="001F4A16" w:rsidRPr="001F4A16" w:rsidRDefault="001F4A16" w:rsidP="001F4A16">
      <w:pPr>
        <w:spacing w:after="0"/>
      </w:pPr>
      <w:r w:rsidRPr="001F4A16">
        <w:rPr>
          <w:b/>
          <w:bCs/>
          <w:color w:val="156082" w:themeColor="accent1"/>
          <w:sz w:val="24"/>
          <w:szCs w:val="24"/>
        </w:rPr>
        <w:t>Objective:</w:t>
      </w:r>
      <w:r w:rsidRPr="001F4A16">
        <w:br/>
        <w:t>To evaluate monthly revenue and order trends and quantify month-over-month (MoM) growth in order to identify growth patterns, seasonality, and performance volatility that may impact strategic decision-making.</w:t>
      </w:r>
    </w:p>
    <w:p w14:paraId="75ED3B90" w14:textId="77777777" w:rsidR="001F4A16" w:rsidRDefault="001F4A16" w:rsidP="001F4A16">
      <w:pPr>
        <w:spacing w:after="0"/>
        <w:rPr>
          <w:b/>
          <w:bCs/>
          <w:color w:val="156082" w:themeColor="accent1"/>
          <w:sz w:val="24"/>
          <w:szCs w:val="24"/>
        </w:rPr>
      </w:pPr>
    </w:p>
    <w:p w14:paraId="24470CD7" w14:textId="424BEDC3" w:rsidR="001F4A16" w:rsidRPr="001F4A16" w:rsidRDefault="001F4A16" w:rsidP="001F4A16">
      <w:pPr>
        <w:spacing w:after="0"/>
      </w:pPr>
      <w:r w:rsidRPr="001F4A16">
        <w:rPr>
          <w:b/>
          <w:bCs/>
          <w:color w:val="156082" w:themeColor="accent1"/>
          <w:sz w:val="24"/>
          <w:szCs w:val="24"/>
        </w:rPr>
        <w:t>Approach:</w:t>
      </w:r>
      <w:r w:rsidRPr="001F4A16">
        <w:br/>
        <w:t>Using advanced SQL techniques, transaction data was aggregated at a monthly level. For each month, total orders and total revenue were calculated, alongside prior-month comparisons to derive MoM growth percentages for both metrics.</w:t>
      </w:r>
    </w:p>
    <w:p w14:paraId="54C4663A" w14:textId="1643AAF2" w:rsidR="001F4A16" w:rsidRPr="001F4A16" w:rsidRDefault="001F4A16" w:rsidP="001F4A16">
      <w:pPr>
        <w:spacing w:after="0"/>
      </w:pPr>
      <w:r w:rsidRPr="001F4A16">
        <w:rPr>
          <w:b/>
          <w:bCs/>
        </w:rPr>
        <w:t>Note:</w:t>
      </w:r>
      <w:r w:rsidRPr="001F4A16">
        <w:t xml:space="preserve"> Month-over-month calculations are based on a complete monthly calendar. Months with zero orders are explicitly included to preserve accurate MoM comparisons and avoid misleading growth </w:t>
      </w:r>
      <w:r w:rsidR="00442500" w:rsidRPr="001F4A16">
        <w:t>items</w:t>
      </w:r>
      <w:r w:rsidRPr="001F4A16">
        <w:t>.</w:t>
      </w:r>
    </w:p>
    <w:p w14:paraId="556CFF76" w14:textId="77777777" w:rsidR="001F4A16" w:rsidRDefault="001F4A16" w:rsidP="001F4A16">
      <w:pPr>
        <w:spacing w:after="0"/>
        <w:rPr>
          <w:b/>
          <w:bCs/>
          <w:color w:val="156082" w:themeColor="accent1"/>
          <w:sz w:val="24"/>
          <w:szCs w:val="24"/>
        </w:rPr>
      </w:pPr>
    </w:p>
    <w:p w14:paraId="6ACD3BD2" w14:textId="77777777" w:rsidR="00FD48E7" w:rsidRDefault="001F4A16" w:rsidP="001F4A16">
      <w:pPr>
        <w:spacing w:after="0"/>
      </w:pPr>
      <w:r w:rsidRPr="001F4A16">
        <w:rPr>
          <w:b/>
          <w:bCs/>
          <w:color w:val="156082" w:themeColor="accent1"/>
          <w:sz w:val="24"/>
          <w:szCs w:val="24"/>
        </w:rPr>
        <w:t>Key Findings:</w:t>
      </w:r>
      <w:r w:rsidRPr="001F4A16">
        <w:br/>
      </w:r>
    </w:p>
    <w:p w14:paraId="31A7B5AF" w14:textId="77777777" w:rsidR="00FD48E7" w:rsidRDefault="001F4A16" w:rsidP="00FD48E7">
      <w:pPr>
        <w:pStyle w:val="ListParagraph"/>
        <w:numPr>
          <w:ilvl w:val="0"/>
          <w:numId w:val="5"/>
        </w:numPr>
        <w:spacing w:after="0"/>
      </w:pPr>
      <w:r w:rsidRPr="001F4A16">
        <w:t>The business experienced rapid growth throughout 2017, with sustained increases in both orders and revenue, indicating successful customer acquisition and scaling.</w:t>
      </w:r>
    </w:p>
    <w:p w14:paraId="3A16F91E" w14:textId="77777777" w:rsidR="00FD48E7" w:rsidRDefault="001F4A16" w:rsidP="00FD48E7">
      <w:pPr>
        <w:pStyle w:val="ListParagraph"/>
        <w:numPr>
          <w:ilvl w:val="0"/>
          <w:numId w:val="5"/>
        </w:numPr>
        <w:spacing w:after="0"/>
      </w:pPr>
      <w:r w:rsidRPr="001F4A16">
        <w:t>Seasonal demand peaks are evident in Q4, particularly November, followed by sharp post-peak declines in December and early Q1.</w:t>
      </w:r>
    </w:p>
    <w:p w14:paraId="30359FE7" w14:textId="77777777" w:rsidR="00FD48E7" w:rsidRDefault="001F4A16" w:rsidP="00FD48E7">
      <w:pPr>
        <w:pStyle w:val="ListParagraph"/>
        <w:numPr>
          <w:ilvl w:val="0"/>
          <w:numId w:val="5"/>
        </w:numPr>
        <w:spacing w:after="0"/>
      </w:pPr>
      <w:r w:rsidRPr="001F4A16">
        <w:t>Periods where revenue growth outpaces order growth (e.g., March 2018) suggest improvements in average order value, potentially driven by pricing, product mix, or promotional strategies.</w:t>
      </w:r>
    </w:p>
    <w:p w14:paraId="0BB9FADB" w14:textId="77777777" w:rsidR="00FD48E7" w:rsidRDefault="001F4A16" w:rsidP="00FD48E7">
      <w:pPr>
        <w:pStyle w:val="ListParagraph"/>
        <w:numPr>
          <w:ilvl w:val="0"/>
          <w:numId w:val="5"/>
        </w:numPr>
        <w:spacing w:after="0"/>
      </w:pPr>
      <w:r w:rsidRPr="001F4A16">
        <w:t>Several extreme MoM changes, particularly in early periods, reflect base-effect dynamics common in early-stage growth rather than data quality issues, with volatility normalising as scale increases.</w:t>
      </w:r>
    </w:p>
    <w:p w14:paraId="0D929BE9" w14:textId="541D8667" w:rsidR="001F4A16" w:rsidRPr="001F4A16" w:rsidRDefault="001F4A16" w:rsidP="00FD48E7">
      <w:pPr>
        <w:pStyle w:val="ListParagraph"/>
        <w:numPr>
          <w:ilvl w:val="0"/>
          <w:numId w:val="5"/>
        </w:numPr>
        <w:spacing w:after="0"/>
      </w:pPr>
      <w:r w:rsidRPr="001F4A16">
        <w:t>From mid-2018 onwards, growth begins to stabilise and flatten, indicating a transition from high-growth expansion to a more mature operating phase.</w:t>
      </w:r>
    </w:p>
    <w:p w14:paraId="4A0727C3" w14:textId="77777777" w:rsidR="001F4A16" w:rsidRDefault="001F4A16" w:rsidP="001F4A16">
      <w:pPr>
        <w:spacing w:after="0"/>
        <w:rPr>
          <w:b/>
          <w:bCs/>
          <w:color w:val="156082" w:themeColor="accent1"/>
          <w:sz w:val="24"/>
          <w:szCs w:val="24"/>
        </w:rPr>
      </w:pPr>
    </w:p>
    <w:p w14:paraId="7D0DFB29" w14:textId="77777777" w:rsidR="00FD48E7" w:rsidRDefault="001F4A16" w:rsidP="001F4A16">
      <w:pPr>
        <w:spacing w:after="0"/>
      </w:pPr>
      <w:r w:rsidRPr="001F4A16">
        <w:rPr>
          <w:b/>
          <w:bCs/>
          <w:color w:val="156082" w:themeColor="accent1"/>
          <w:sz w:val="24"/>
          <w:szCs w:val="24"/>
        </w:rPr>
        <w:t>Business Implications:</w:t>
      </w:r>
      <w:r w:rsidRPr="001F4A16">
        <w:br/>
      </w:r>
    </w:p>
    <w:p w14:paraId="57892F7E" w14:textId="77777777" w:rsidR="00FD48E7" w:rsidRDefault="001F4A16" w:rsidP="00FD48E7">
      <w:pPr>
        <w:pStyle w:val="ListParagraph"/>
        <w:numPr>
          <w:ilvl w:val="0"/>
          <w:numId w:val="7"/>
        </w:numPr>
        <w:spacing w:after="0"/>
      </w:pPr>
      <w:r w:rsidRPr="001F4A16">
        <w:t>Forecasting models should explicitly account for seasonality and early-stage volatility to avoid overstating expected performance.</w:t>
      </w:r>
    </w:p>
    <w:p w14:paraId="0454CE25" w14:textId="77777777" w:rsidR="00FD48E7" w:rsidRDefault="001F4A16" w:rsidP="00FD48E7">
      <w:pPr>
        <w:pStyle w:val="ListParagraph"/>
        <w:numPr>
          <w:ilvl w:val="0"/>
          <w:numId w:val="7"/>
        </w:numPr>
        <w:spacing w:after="0"/>
      </w:pPr>
      <w:r w:rsidRPr="001F4A16">
        <w:t>Marketing and inventory strategies can be optimised by aligning investment with historically high-performing months.</w:t>
      </w:r>
    </w:p>
    <w:p w14:paraId="4C73EF25" w14:textId="140AFB3B" w:rsidR="001F4A16" w:rsidRPr="001F4A16" w:rsidRDefault="001F4A16" w:rsidP="00FD48E7">
      <w:pPr>
        <w:pStyle w:val="ListParagraph"/>
        <w:numPr>
          <w:ilvl w:val="0"/>
          <w:numId w:val="7"/>
        </w:numPr>
        <w:spacing w:after="0"/>
      </w:pPr>
      <w:r w:rsidRPr="001F4A16">
        <w:t>Leadership should monitor stabilising growth trends as a signal to shift focus from acquisition toward retention, basket size optimisation, and customer lifetime value.</w:t>
      </w:r>
    </w:p>
    <w:p w14:paraId="2A904E14" w14:textId="77777777" w:rsidR="00446860" w:rsidRDefault="00446860" w:rsidP="001F4A16">
      <w:pPr>
        <w:spacing w:after="0"/>
      </w:pPr>
    </w:p>
    <w:sectPr w:rsidR="00446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80703"/>
    <w:multiLevelType w:val="hybridMultilevel"/>
    <w:tmpl w:val="44B2F5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75430"/>
    <w:multiLevelType w:val="hybridMultilevel"/>
    <w:tmpl w:val="1EC00D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55DC6"/>
    <w:multiLevelType w:val="hybridMultilevel"/>
    <w:tmpl w:val="83909B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F64C7"/>
    <w:multiLevelType w:val="hybridMultilevel"/>
    <w:tmpl w:val="D6D06E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A63289"/>
    <w:multiLevelType w:val="hybridMultilevel"/>
    <w:tmpl w:val="0136D3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C6058"/>
    <w:multiLevelType w:val="multilevel"/>
    <w:tmpl w:val="A394D39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6E435C7C"/>
    <w:multiLevelType w:val="hybridMultilevel"/>
    <w:tmpl w:val="B81A6B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228293">
    <w:abstractNumId w:val="4"/>
  </w:num>
  <w:num w:numId="2" w16cid:durableId="131486840">
    <w:abstractNumId w:val="3"/>
  </w:num>
  <w:num w:numId="3" w16cid:durableId="507595572">
    <w:abstractNumId w:val="6"/>
  </w:num>
  <w:num w:numId="4" w16cid:durableId="2051102070">
    <w:abstractNumId w:val="5"/>
  </w:num>
  <w:num w:numId="5" w16cid:durableId="737438440">
    <w:abstractNumId w:val="1"/>
  </w:num>
  <w:num w:numId="6" w16cid:durableId="1613854054">
    <w:abstractNumId w:val="0"/>
  </w:num>
  <w:num w:numId="7" w16cid:durableId="380600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1BB"/>
    <w:rsid w:val="001F4A16"/>
    <w:rsid w:val="00442500"/>
    <w:rsid w:val="00446860"/>
    <w:rsid w:val="005251BB"/>
    <w:rsid w:val="007E7E05"/>
    <w:rsid w:val="008073DB"/>
    <w:rsid w:val="00B24013"/>
    <w:rsid w:val="00BB4E17"/>
    <w:rsid w:val="00E3257D"/>
    <w:rsid w:val="00FD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368B3"/>
  <w15:chartTrackingRefBased/>
  <w15:docId w15:val="{FB1E6DF8-BA40-4269-B511-B151B2C5C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80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Lishani Srikaran</dc:creator>
  <cp:keywords/>
  <dc:description/>
  <cp:lastModifiedBy>Lishani Srikaran</cp:lastModifiedBy>
  <cp:revision>5</cp:revision>
  <dcterms:created xsi:type="dcterms:W3CDTF">2026-01-03T15:10:00Z</dcterms:created>
  <dcterms:modified xsi:type="dcterms:W3CDTF">2026-01-03T16:20:00Z</dcterms:modified>
</cp:coreProperties>
</file>