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C309B8" w14:textId="77777777" w:rsidR="00A067E2" w:rsidRPr="00A067E2" w:rsidRDefault="00A067E2" w:rsidP="00A067E2">
      <w:pPr>
        <w:rPr>
          <w:color w:val="156082" w:themeColor="accent1"/>
          <w:sz w:val="28"/>
          <w:szCs w:val="28"/>
          <w:u w:val="single"/>
        </w:rPr>
      </w:pPr>
      <w:r w:rsidRPr="00A067E2">
        <w:rPr>
          <w:color w:val="156082" w:themeColor="accent1"/>
          <w:sz w:val="28"/>
          <w:szCs w:val="28"/>
          <w:u w:val="single"/>
        </w:rPr>
        <w:t>Revenue Analysis: Product and Category Performance</w:t>
      </w:r>
    </w:p>
    <w:p w14:paraId="3558C072" w14:textId="5F75BA2A" w:rsidR="00A067E2" w:rsidRPr="00A067E2" w:rsidRDefault="00A067E2" w:rsidP="00A067E2">
      <w:pPr>
        <w:rPr>
          <w:b/>
          <w:bCs/>
          <w:color w:val="156082" w:themeColor="accent1"/>
          <w:sz w:val="24"/>
          <w:szCs w:val="24"/>
        </w:rPr>
      </w:pPr>
      <w:r w:rsidRPr="00A067E2">
        <w:rPr>
          <w:b/>
          <w:bCs/>
          <w:color w:val="156082" w:themeColor="accent1"/>
          <w:sz w:val="24"/>
          <w:szCs w:val="24"/>
        </w:rPr>
        <w:t>Objective</w:t>
      </w:r>
      <w:r>
        <w:rPr>
          <w:b/>
          <w:bCs/>
          <w:color w:val="156082" w:themeColor="accent1"/>
          <w:sz w:val="24"/>
          <w:szCs w:val="24"/>
        </w:rPr>
        <w:t>:</w:t>
      </w:r>
    </w:p>
    <w:p w14:paraId="232C466D" w14:textId="77777777" w:rsidR="00130A20" w:rsidRDefault="00130A20" w:rsidP="00A067E2">
      <w:r w:rsidRPr="00130A20">
        <w:t>The objective of this analysis was to understand how revenue is distributed across products and categories, identify concentration patterns, and assess whether overall performance is driven by a small number of high performers or by a broader long-tail structure. The findings are intended to support strategic decisions around merchandising, category prioritisation, and commercial focus.</w:t>
      </w:r>
    </w:p>
    <w:p w14:paraId="0C66BEBE" w14:textId="230C1FCA" w:rsidR="00A067E2" w:rsidRPr="00A067E2" w:rsidRDefault="00A067E2" w:rsidP="00A067E2">
      <w:pPr>
        <w:rPr>
          <w:b/>
          <w:bCs/>
          <w:color w:val="156082" w:themeColor="accent1"/>
          <w:sz w:val="24"/>
          <w:szCs w:val="24"/>
        </w:rPr>
      </w:pPr>
      <w:r w:rsidRPr="00A067E2">
        <w:rPr>
          <w:b/>
          <w:bCs/>
          <w:color w:val="156082" w:themeColor="accent1"/>
          <w:sz w:val="24"/>
          <w:szCs w:val="24"/>
        </w:rPr>
        <w:t>Approach</w:t>
      </w:r>
      <w:r>
        <w:rPr>
          <w:b/>
          <w:bCs/>
          <w:color w:val="156082" w:themeColor="accent1"/>
          <w:sz w:val="24"/>
          <w:szCs w:val="24"/>
        </w:rPr>
        <w:t>:</w:t>
      </w:r>
    </w:p>
    <w:p w14:paraId="5CB023F6" w14:textId="77777777" w:rsidR="00A067E2" w:rsidRPr="00A067E2" w:rsidRDefault="00A067E2" w:rsidP="00A067E2">
      <w:r w:rsidRPr="00A067E2">
        <w:t>Revenue was aggregated at two levels:</w:t>
      </w:r>
    </w:p>
    <w:p w14:paraId="6C608342" w14:textId="6FC183E7" w:rsidR="00A067E2" w:rsidRPr="00A067E2" w:rsidRDefault="00A067E2" w:rsidP="00A067E2">
      <w:pPr>
        <w:numPr>
          <w:ilvl w:val="0"/>
          <w:numId w:val="8"/>
        </w:numPr>
        <w:spacing w:after="0"/>
      </w:pPr>
      <w:r w:rsidRPr="00A067E2">
        <w:t>Product level</w:t>
      </w:r>
      <w:r w:rsidR="00130A20" w:rsidRPr="00130A20">
        <w:t xml:space="preserve"> </w:t>
      </w:r>
      <w:r w:rsidR="00130A20" w:rsidRPr="00130A20">
        <w:t xml:space="preserve">Total revenue per </w:t>
      </w:r>
      <w:proofErr w:type="spellStart"/>
      <w:r w:rsidR="00130A20" w:rsidRPr="00130A20">
        <w:t>product_id</w:t>
      </w:r>
      <w:proofErr w:type="spellEnd"/>
      <w:r w:rsidR="00130A20" w:rsidRPr="00130A20">
        <w:t xml:space="preserve"> was calculated and ranked using DENSE_RANK(). Each product’s percentage contribution to total revenue was also computed.</w:t>
      </w:r>
    </w:p>
    <w:p w14:paraId="4D987496" w14:textId="1A947385" w:rsidR="00A067E2" w:rsidRDefault="00A067E2" w:rsidP="00130A20">
      <w:pPr>
        <w:numPr>
          <w:ilvl w:val="0"/>
          <w:numId w:val="8"/>
        </w:numPr>
        <w:spacing w:after="0"/>
      </w:pPr>
      <w:r w:rsidRPr="00A067E2">
        <w:t xml:space="preserve">Category level: </w:t>
      </w:r>
      <w:r w:rsidR="00130A20" w:rsidRPr="00130A20">
        <w:t>Total revenue per product category was aggregated, ranked, and expressed as a percentage of overall revenue.</w:t>
      </w:r>
    </w:p>
    <w:p w14:paraId="41162E4C" w14:textId="77777777" w:rsidR="00A067E2" w:rsidRPr="00A067E2" w:rsidRDefault="00A067E2" w:rsidP="00A067E2">
      <w:pPr>
        <w:spacing w:after="0"/>
        <w:ind w:left="720"/>
      </w:pPr>
    </w:p>
    <w:p w14:paraId="19BD10E3" w14:textId="77777777" w:rsidR="00130A20" w:rsidRPr="00130A20" w:rsidRDefault="00130A20" w:rsidP="00130A20">
      <w:r w:rsidRPr="00130A20">
        <w:t>This approach allowed for a direct comparison between product-level and category-level concentration patterns.</w:t>
      </w:r>
    </w:p>
    <w:p w14:paraId="75586BB1" w14:textId="524D415C" w:rsidR="00A067E2" w:rsidRPr="00A067E2" w:rsidRDefault="00A067E2" w:rsidP="00A067E2">
      <w:pPr>
        <w:rPr>
          <w:b/>
          <w:bCs/>
          <w:color w:val="156082" w:themeColor="accent1"/>
          <w:sz w:val="24"/>
          <w:szCs w:val="24"/>
        </w:rPr>
      </w:pPr>
      <w:r w:rsidRPr="00A067E2">
        <w:rPr>
          <w:b/>
          <w:bCs/>
          <w:color w:val="156082" w:themeColor="accent1"/>
          <w:sz w:val="24"/>
          <w:szCs w:val="24"/>
        </w:rPr>
        <w:t xml:space="preserve">Key Findings </w:t>
      </w:r>
      <w:r w:rsidR="0008582A">
        <w:rPr>
          <w:b/>
          <w:bCs/>
          <w:color w:val="156082" w:themeColor="accent1"/>
          <w:sz w:val="24"/>
          <w:szCs w:val="24"/>
        </w:rPr>
        <w:t>for</w:t>
      </w:r>
      <w:r w:rsidRPr="00A067E2">
        <w:rPr>
          <w:b/>
          <w:bCs/>
          <w:color w:val="156082" w:themeColor="accent1"/>
          <w:sz w:val="24"/>
          <w:szCs w:val="24"/>
        </w:rPr>
        <w:t xml:space="preserve"> Product-Level Performance</w:t>
      </w:r>
    </w:p>
    <w:p w14:paraId="14A5F53F" w14:textId="77777777" w:rsidR="00CB4459" w:rsidRPr="00CB4459" w:rsidRDefault="00CB4459" w:rsidP="00CB4459">
      <w:pPr>
        <w:spacing w:after="0"/>
        <w:rPr>
          <w:b/>
          <w:bCs/>
        </w:rPr>
      </w:pPr>
      <w:r w:rsidRPr="00CB4459">
        <w:rPr>
          <w:b/>
          <w:bCs/>
        </w:rPr>
        <w:t>1. Revenue is highly fragmented across products</w:t>
      </w:r>
    </w:p>
    <w:p w14:paraId="3DBE3B77" w14:textId="77777777" w:rsidR="00CB4459" w:rsidRPr="00CB4459" w:rsidRDefault="00CB4459" w:rsidP="00CB4459">
      <w:pPr>
        <w:spacing w:after="0"/>
      </w:pPr>
      <w:r w:rsidRPr="00CB4459">
        <w:t xml:space="preserve">The highest-grossing product accounts for only </w:t>
      </w:r>
      <w:r w:rsidRPr="00CB4459">
        <w:rPr>
          <w:b/>
          <w:bCs/>
        </w:rPr>
        <w:t>0.47%</w:t>
      </w:r>
      <w:r w:rsidRPr="00CB4459">
        <w:t xml:space="preserve"> of total revenue, with the second and third contributing </w:t>
      </w:r>
      <w:r w:rsidRPr="00CB4459">
        <w:rPr>
          <w:b/>
          <w:bCs/>
        </w:rPr>
        <w:t>0.40%</w:t>
      </w:r>
      <w:r w:rsidRPr="00CB4459">
        <w:t xml:space="preserve"> and </w:t>
      </w:r>
      <w:r w:rsidRPr="00CB4459">
        <w:rPr>
          <w:b/>
          <w:bCs/>
        </w:rPr>
        <w:t>0.36%</w:t>
      </w:r>
      <w:r w:rsidRPr="00CB4459">
        <w:t xml:space="preserve"> respectively. Even among the top 100 products, individual contributions remain below 0.5%.</w:t>
      </w:r>
    </w:p>
    <w:p w14:paraId="45FC2C4E" w14:textId="77777777" w:rsidR="00CB4459" w:rsidRDefault="00CB4459" w:rsidP="00CB4459">
      <w:pPr>
        <w:spacing w:after="0"/>
      </w:pPr>
      <w:r w:rsidRPr="00CB4459">
        <w:t>This indicates that no single product meaningfully drives overall revenue.</w:t>
      </w:r>
    </w:p>
    <w:p w14:paraId="2D8E8F17" w14:textId="77777777" w:rsidR="00CB4459" w:rsidRPr="00CB4459" w:rsidRDefault="00CB4459" w:rsidP="00CB4459">
      <w:pPr>
        <w:spacing w:after="0"/>
      </w:pPr>
    </w:p>
    <w:p w14:paraId="763C91A3" w14:textId="77777777" w:rsidR="00CB4459" w:rsidRPr="00CB4459" w:rsidRDefault="00CB4459" w:rsidP="00CB4459">
      <w:pPr>
        <w:spacing w:after="0"/>
        <w:rPr>
          <w:b/>
          <w:bCs/>
        </w:rPr>
      </w:pPr>
      <w:r w:rsidRPr="00CB4459">
        <w:rPr>
          <w:b/>
          <w:bCs/>
        </w:rPr>
        <w:t>2. Clear long-tail revenue structure</w:t>
      </w:r>
    </w:p>
    <w:p w14:paraId="0CAC0A3C" w14:textId="77777777" w:rsidR="00CB4459" w:rsidRDefault="00CB4459" w:rsidP="00CB4459">
      <w:pPr>
        <w:spacing w:after="0"/>
      </w:pPr>
      <w:r w:rsidRPr="00CB4459">
        <w:t xml:space="preserve">Revenue declines gradually across product rankings rather than dropping sharply after the top few items. This pattern suggests a strong </w:t>
      </w:r>
      <w:r w:rsidRPr="00CB4459">
        <w:rPr>
          <w:b/>
          <w:bCs/>
        </w:rPr>
        <w:t>long-tail effect</w:t>
      </w:r>
      <w:r w:rsidRPr="00CB4459">
        <w:t>, where a large number of low-performing products collectively generate substantial revenue.</w:t>
      </w:r>
    </w:p>
    <w:p w14:paraId="0CB0020B" w14:textId="77777777" w:rsidR="00CB4459" w:rsidRPr="00CB4459" w:rsidRDefault="00CB4459" w:rsidP="00CB4459">
      <w:pPr>
        <w:spacing w:after="0"/>
      </w:pPr>
    </w:p>
    <w:p w14:paraId="3F11688D" w14:textId="77777777" w:rsidR="00CB4459" w:rsidRPr="00CB4459" w:rsidRDefault="00CB4459" w:rsidP="00CB4459">
      <w:pPr>
        <w:spacing w:after="0"/>
        <w:rPr>
          <w:b/>
          <w:bCs/>
        </w:rPr>
      </w:pPr>
      <w:r w:rsidRPr="00CB4459">
        <w:rPr>
          <w:b/>
          <w:bCs/>
        </w:rPr>
        <w:t>3. Limited commercial impact from individual SKUs</w:t>
      </w:r>
    </w:p>
    <w:p w14:paraId="19E4D160" w14:textId="77777777" w:rsidR="00CB4459" w:rsidRPr="00CB4459" w:rsidRDefault="00CB4459" w:rsidP="00CB4459">
      <w:pPr>
        <w:spacing w:after="0"/>
      </w:pPr>
      <w:r w:rsidRPr="00CB4459">
        <w:t>In many retail environments, top products often account for several percentage points of revenue each. In this case, the extremely low contribution of even the best-performing products implies:</w:t>
      </w:r>
    </w:p>
    <w:p w14:paraId="7A4115C8" w14:textId="77777777" w:rsidR="00CB4459" w:rsidRPr="00CB4459" w:rsidRDefault="00CB4459" w:rsidP="00CB4459">
      <w:pPr>
        <w:numPr>
          <w:ilvl w:val="0"/>
          <w:numId w:val="23"/>
        </w:numPr>
        <w:spacing w:after="0"/>
      </w:pPr>
      <w:r w:rsidRPr="00CB4459">
        <w:t>Low product concentration</w:t>
      </w:r>
    </w:p>
    <w:p w14:paraId="2DED858E" w14:textId="77777777" w:rsidR="00CB4459" w:rsidRPr="00CB4459" w:rsidRDefault="00CB4459" w:rsidP="00CB4459">
      <w:pPr>
        <w:numPr>
          <w:ilvl w:val="0"/>
          <w:numId w:val="23"/>
        </w:numPr>
        <w:spacing w:after="0"/>
      </w:pPr>
      <w:r w:rsidRPr="00CB4459">
        <w:t>Limited dependence on “hero” SKUs</w:t>
      </w:r>
    </w:p>
    <w:p w14:paraId="0C2961A5" w14:textId="77777777" w:rsidR="00CB4459" w:rsidRDefault="00CB4459" w:rsidP="00CB4459">
      <w:pPr>
        <w:numPr>
          <w:ilvl w:val="0"/>
          <w:numId w:val="23"/>
        </w:numPr>
        <w:spacing w:after="0"/>
      </w:pPr>
      <w:r w:rsidRPr="00CB4459">
        <w:t>High reliance on breadth of assortment</w:t>
      </w:r>
    </w:p>
    <w:p w14:paraId="77592D90" w14:textId="77777777" w:rsidR="00CB4459" w:rsidRPr="00CB4459" w:rsidRDefault="00CB4459" w:rsidP="00CB4459">
      <w:pPr>
        <w:spacing w:after="0"/>
        <w:ind w:left="720"/>
      </w:pPr>
    </w:p>
    <w:p w14:paraId="2A93AE3D" w14:textId="77777777" w:rsidR="00CB4459" w:rsidRPr="00CB4459" w:rsidRDefault="00CB4459" w:rsidP="00CB4459">
      <w:pPr>
        <w:spacing w:after="0"/>
        <w:rPr>
          <w:b/>
          <w:bCs/>
        </w:rPr>
      </w:pPr>
      <w:r w:rsidRPr="00CB4459">
        <w:rPr>
          <w:b/>
          <w:bCs/>
        </w:rPr>
        <w:t>4. Implications for optimisation</w:t>
      </w:r>
    </w:p>
    <w:p w14:paraId="7E9035F2" w14:textId="77777777" w:rsidR="00CB4459" w:rsidRPr="00CB4459" w:rsidRDefault="00CB4459" w:rsidP="00CB4459">
      <w:pPr>
        <w:spacing w:after="0"/>
      </w:pPr>
      <w:r w:rsidRPr="00CB4459">
        <w:t>Because revenue is distributed across hundreds of products, optimising or promoting a small subset of SKUs is unlikely to materially impact overall performance. Instead, broader structural improvements (e.g. category strategy, platform experience, or customer engagement) are likely to deliver greater commercial value.</w:t>
      </w:r>
    </w:p>
    <w:p w14:paraId="19681015" w14:textId="77777777" w:rsidR="002B4C2B" w:rsidRPr="00A067E2" w:rsidRDefault="002B4C2B" w:rsidP="002B4C2B">
      <w:pPr>
        <w:spacing w:after="0"/>
      </w:pPr>
    </w:p>
    <w:p w14:paraId="0FAA65B6" w14:textId="4C330EF6" w:rsidR="00A067E2" w:rsidRPr="00A067E2" w:rsidRDefault="00A067E2" w:rsidP="00A067E2">
      <w:pPr>
        <w:rPr>
          <w:b/>
          <w:bCs/>
          <w:color w:val="156082" w:themeColor="accent1"/>
          <w:sz w:val="24"/>
          <w:szCs w:val="24"/>
        </w:rPr>
      </w:pPr>
      <w:r w:rsidRPr="00A067E2">
        <w:rPr>
          <w:b/>
          <w:bCs/>
          <w:color w:val="156082" w:themeColor="accent1"/>
          <w:sz w:val="24"/>
          <w:szCs w:val="24"/>
        </w:rPr>
        <w:lastRenderedPageBreak/>
        <w:t>Key Finding</w:t>
      </w:r>
      <w:r w:rsidR="00241CEB">
        <w:rPr>
          <w:b/>
          <w:bCs/>
          <w:color w:val="156082" w:themeColor="accent1"/>
          <w:sz w:val="24"/>
          <w:szCs w:val="24"/>
        </w:rPr>
        <w:t>s</w:t>
      </w:r>
      <w:r w:rsidR="00CB4459">
        <w:rPr>
          <w:b/>
          <w:bCs/>
          <w:color w:val="156082" w:themeColor="accent1"/>
          <w:sz w:val="24"/>
          <w:szCs w:val="24"/>
        </w:rPr>
        <w:t xml:space="preserve"> for </w:t>
      </w:r>
      <w:r w:rsidR="00CB4459" w:rsidRPr="00CB4459">
        <w:rPr>
          <w:b/>
          <w:bCs/>
          <w:color w:val="156082" w:themeColor="accent1"/>
          <w:sz w:val="24"/>
          <w:szCs w:val="24"/>
        </w:rPr>
        <w:t>Category-Level Performance</w:t>
      </w:r>
      <w:r w:rsidR="00CB4459">
        <w:rPr>
          <w:b/>
          <w:bCs/>
          <w:color w:val="156082" w:themeColor="accent1"/>
          <w:sz w:val="24"/>
          <w:szCs w:val="24"/>
        </w:rPr>
        <w:t>:</w:t>
      </w:r>
    </w:p>
    <w:p w14:paraId="76186AC6" w14:textId="77777777" w:rsidR="004F36FC" w:rsidRPr="004F36FC" w:rsidRDefault="004F36FC" w:rsidP="004F36FC">
      <w:pPr>
        <w:spacing w:after="0"/>
      </w:pPr>
      <w:r w:rsidRPr="004F36FC">
        <w:t xml:space="preserve">Unlike the product-level distribution, categories show meaningful concentration. The top five categories account for over </w:t>
      </w:r>
      <w:r w:rsidRPr="004F36FC">
        <w:rPr>
          <w:b/>
          <w:bCs/>
        </w:rPr>
        <w:t>40% of total revenue</w:t>
      </w:r>
      <w:r w:rsidRPr="004F36FC">
        <w:t>:</w:t>
      </w:r>
    </w:p>
    <w:p w14:paraId="21C527FD" w14:textId="26D6BFD3" w:rsidR="004F36FC" w:rsidRPr="004F36FC" w:rsidRDefault="004F36FC" w:rsidP="004F36FC">
      <w:pPr>
        <w:numPr>
          <w:ilvl w:val="0"/>
          <w:numId w:val="24"/>
        </w:numPr>
        <w:spacing w:after="0"/>
      </w:pPr>
      <w:r w:rsidRPr="004F36FC">
        <w:t xml:space="preserve">Health &amp; Beauty </w:t>
      </w:r>
      <w:r>
        <w:t>-</w:t>
      </w:r>
      <w:r w:rsidRPr="004F36FC">
        <w:t xml:space="preserve"> 9.39%</w:t>
      </w:r>
    </w:p>
    <w:p w14:paraId="239BEAB5" w14:textId="1E320866" w:rsidR="004F36FC" w:rsidRPr="004F36FC" w:rsidRDefault="004F36FC" w:rsidP="004F36FC">
      <w:pPr>
        <w:numPr>
          <w:ilvl w:val="0"/>
          <w:numId w:val="24"/>
        </w:numPr>
        <w:spacing w:after="0"/>
      </w:pPr>
      <w:r w:rsidRPr="004F36FC">
        <w:t xml:space="preserve">Watches &amp; Gifts </w:t>
      </w:r>
      <w:r>
        <w:t>-</w:t>
      </w:r>
      <w:r w:rsidRPr="004F36FC">
        <w:t xml:space="preserve"> 8.99%</w:t>
      </w:r>
    </w:p>
    <w:p w14:paraId="2F87D468" w14:textId="387C8BBC" w:rsidR="004F36FC" w:rsidRPr="004F36FC" w:rsidRDefault="004F36FC" w:rsidP="004F36FC">
      <w:pPr>
        <w:numPr>
          <w:ilvl w:val="0"/>
          <w:numId w:val="24"/>
        </w:numPr>
        <w:spacing w:after="0"/>
      </w:pPr>
      <w:r w:rsidRPr="004F36FC">
        <w:t xml:space="preserve">Bed, Bath &amp; Table </w:t>
      </w:r>
      <w:r>
        <w:t>-</w:t>
      </w:r>
      <w:r w:rsidRPr="004F36FC">
        <w:t xml:space="preserve"> 7.73%</w:t>
      </w:r>
    </w:p>
    <w:p w14:paraId="08EC6B88" w14:textId="2B3F478D" w:rsidR="004F36FC" w:rsidRPr="004F36FC" w:rsidRDefault="004F36FC" w:rsidP="004F36FC">
      <w:pPr>
        <w:numPr>
          <w:ilvl w:val="0"/>
          <w:numId w:val="24"/>
        </w:numPr>
        <w:spacing w:after="0"/>
      </w:pPr>
      <w:r w:rsidRPr="004F36FC">
        <w:t xml:space="preserve">Sports &amp; Leisure </w:t>
      </w:r>
      <w:r>
        <w:t xml:space="preserve">- </w:t>
      </w:r>
      <w:r w:rsidRPr="004F36FC">
        <w:t>7.37%</w:t>
      </w:r>
    </w:p>
    <w:p w14:paraId="70E5FA66" w14:textId="264D4ACA" w:rsidR="004F36FC" w:rsidRPr="004F36FC" w:rsidRDefault="004F36FC" w:rsidP="004F36FC">
      <w:pPr>
        <w:numPr>
          <w:ilvl w:val="0"/>
          <w:numId w:val="24"/>
        </w:numPr>
        <w:spacing w:after="0"/>
      </w:pPr>
      <w:r w:rsidRPr="004F36FC">
        <w:t xml:space="preserve">Computers &amp; Accessories </w:t>
      </w:r>
      <w:r>
        <w:t>-</w:t>
      </w:r>
      <w:r w:rsidRPr="004F36FC">
        <w:t xml:space="preserve"> 6.80%</w:t>
      </w:r>
    </w:p>
    <w:p w14:paraId="41C40B86" w14:textId="77777777" w:rsidR="004F36FC" w:rsidRDefault="004F36FC" w:rsidP="004F36FC">
      <w:pPr>
        <w:spacing w:after="0"/>
      </w:pPr>
      <w:r w:rsidRPr="004F36FC">
        <w:t>This demonstrates that category selection is a major driver of commercial performance.</w:t>
      </w:r>
    </w:p>
    <w:p w14:paraId="352CC19A" w14:textId="77777777" w:rsidR="004F36FC" w:rsidRPr="004F36FC" w:rsidRDefault="004F36FC" w:rsidP="004F36FC">
      <w:pPr>
        <w:spacing w:after="0"/>
      </w:pPr>
    </w:p>
    <w:p w14:paraId="18FADFE2" w14:textId="77777777" w:rsidR="004F36FC" w:rsidRPr="004F36FC" w:rsidRDefault="004F36FC" w:rsidP="004F36FC">
      <w:pPr>
        <w:spacing w:after="0"/>
        <w:rPr>
          <w:b/>
          <w:bCs/>
        </w:rPr>
      </w:pPr>
      <w:r w:rsidRPr="004F36FC">
        <w:rPr>
          <w:b/>
          <w:bCs/>
        </w:rPr>
        <w:t>2. Steep drop-off beyond top categories</w:t>
      </w:r>
    </w:p>
    <w:p w14:paraId="6B6BB086" w14:textId="77777777" w:rsidR="004F36FC" w:rsidRPr="004F36FC" w:rsidRDefault="004F36FC" w:rsidP="004F36FC">
      <w:pPr>
        <w:spacing w:after="0"/>
      </w:pPr>
      <w:r w:rsidRPr="004F36FC">
        <w:t>After the top 10–15 categories, revenue contribution declines rapidly. Many categories contribute less than 1% of total revenue, with several contributing close to zero. This highlights a clear divide between:</w:t>
      </w:r>
    </w:p>
    <w:p w14:paraId="1D5FF334" w14:textId="77777777" w:rsidR="004F36FC" w:rsidRPr="004F36FC" w:rsidRDefault="004F36FC" w:rsidP="004F36FC">
      <w:pPr>
        <w:numPr>
          <w:ilvl w:val="0"/>
          <w:numId w:val="25"/>
        </w:numPr>
        <w:spacing w:after="0"/>
      </w:pPr>
      <w:r w:rsidRPr="004F36FC">
        <w:t>Core, revenue-driving categories</w:t>
      </w:r>
    </w:p>
    <w:p w14:paraId="0501C260" w14:textId="77777777" w:rsidR="004F36FC" w:rsidRDefault="004F36FC" w:rsidP="004F36FC">
      <w:pPr>
        <w:numPr>
          <w:ilvl w:val="0"/>
          <w:numId w:val="25"/>
        </w:numPr>
        <w:spacing w:after="0"/>
      </w:pPr>
      <w:r w:rsidRPr="004F36FC">
        <w:t>Peripheral or niche categories with limited commercial impact</w:t>
      </w:r>
    </w:p>
    <w:p w14:paraId="12913A87" w14:textId="77777777" w:rsidR="004F36FC" w:rsidRPr="004F36FC" w:rsidRDefault="004F36FC" w:rsidP="004F36FC">
      <w:pPr>
        <w:spacing w:after="0"/>
        <w:ind w:left="720"/>
      </w:pPr>
    </w:p>
    <w:p w14:paraId="2F8A7DFF" w14:textId="77777777" w:rsidR="004F36FC" w:rsidRPr="004F36FC" w:rsidRDefault="004F36FC" w:rsidP="004F36FC">
      <w:pPr>
        <w:spacing w:after="0"/>
        <w:rPr>
          <w:b/>
          <w:bCs/>
        </w:rPr>
      </w:pPr>
      <w:r w:rsidRPr="004F36FC">
        <w:rPr>
          <w:b/>
          <w:bCs/>
        </w:rPr>
        <w:t>3. Broad marketplace with uneven value distribution</w:t>
      </w:r>
    </w:p>
    <w:p w14:paraId="6F105E0D" w14:textId="77777777" w:rsidR="004F36FC" w:rsidRDefault="004F36FC" w:rsidP="004F36FC">
      <w:pPr>
        <w:spacing w:after="0"/>
      </w:pPr>
      <w:r w:rsidRPr="004F36FC">
        <w:t>The presence of over 70 categories indicates a very broad catalogue. However, performance is heavily skewed towards a relatively small subset, suggesting that while the platform supports diversity of offering, commercial value is concentrated.</w:t>
      </w:r>
    </w:p>
    <w:p w14:paraId="6BB0FB12" w14:textId="77777777" w:rsidR="004F36FC" w:rsidRPr="004F36FC" w:rsidRDefault="004F36FC" w:rsidP="004F36FC">
      <w:pPr>
        <w:spacing w:after="0"/>
      </w:pPr>
    </w:p>
    <w:p w14:paraId="61F4FE53" w14:textId="77777777" w:rsidR="004F36FC" w:rsidRPr="004F36FC" w:rsidRDefault="004F36FC" w:rsidP="004F36FC">
      <w:pPr>
        <w:spacing w:after="0"/>
        <w:rPr>
          <w:b/>
          <w:bCs/>
        </w:rPr>
      </w:pPr>
      <w:r w:rsidRPr="004F36FC">
        <w:rPr>
          <w:b/>
          <w:bCs/>
        </w:rPr>
        <w:t>4. Category strategy is a stronger commercial lever than SKU strategy</w:t>
      </w:r>
    </w:p>
    <w:p w14:paraId="0ECD9BAF" w14:textId="77777777" w:rsidR="004F36FC" w:rsidRPr="004F36FC" w:rsidRDefault="004F36FC" w:rsidP="004F36FC">
      <w:pPr>
        <w:spacing w:after="0"/>
      </w:pPr>
      <w:r w:rsidRPr="004F36FC">
        <w:t>Given the contrast between product-level fragmentation and category-level concentration, category-focused interventions are likely to be significantly more effective. These could include:</w:t>
      </w:r>
    </w:p>
    <w:p w14:paraId="00DA40C6" w14:textId="77777777" w:rsidR="004F36FC" w:rsidRPr="004F36FC" w:rsidRDefault="004F36FC" w:rsidP="004F36FC">
      <w:pPr>
        <w:numPr>
          <w:ilvl w:val="0"/>
          <w:numId w:val="26"/>
        </w:numPr>
        <w:spacing w:after="0"/>
      </w:pPr>
      <w:r w:rsidRPr="004F36FC">
        <w:t>Improving seller quality in top-performing categories</w:t>
      </w:r>
    </w:p>
    <w:p w14:paraId="4FF3A83F" w14:textId="77777777" w:rsidR="004F36FC" w:rsidRPr="004F36FC" w:rsidRDefault="004F36FC" w:rsidP="004F36FC">
      <w:pPr>
        <w:numPr>
          <w:ilvl w:val="0"/>
          <w:numId w:val="26"/>
        </w:numPr>
        <w:spacing w:after="0"/>
      </w:pPr>
      <w:r w:rsidRPr="004F36FC">
        <w:t>Investing in merchandising and discovery for high-value categories</w:t>
      </w:r>
    </w:p>
    <w:p w14:paraId="518A5B31" w14:textId="69FD5761" w:rsidR="004F36FC" w:rsidRPr="004F36FC" w:rsidRDefault="004F36FC" w:rsidP="004F36FC">
      <w:pPr>
        <w:numPr>
          <w:ilvl w:val="0"/>
          <w:numId w:val="26"/>
        </w:numPr>
        <w:spacing w:after="0"/>
      </w:pPr>
      <w:r w:rsidRPr="004F36FC">
        <w:t xml:space="preserve">Prioritising search, </w:t>
      </w:r>
      <w:r>
        <w:t>user experiences</w:t>
      </w:r>
      <w:r w:rsidRPr="004F36FC">
        <w:t>, and promotions within key categories</w:t>
      </w:r>
    </w:p>
    <w:p w14:paraId="49AB8EEB" w14:textId="77777777" w:rsidR="002B4C2B" w:rsidRPr="00A067E2" w:rsidRDefault="002B4C2B" w:rsidP="004F36FC">
      <w:pPr>
        <w:spacing w:after="0"/>
      </w:pPr>
    </w:p>
    <w:p w14:paraId="50A2DB44" w14:textId="77777777" w:rsidR="00A067E2" w:rsidRPr="00A067E2" w:rsidRDefault="00A067E2" w:rsidP="00A067E2">
      <w:pPr>
        <w:rPr>
          <w:b/>
          <w:bCs/>
          <w:color w:val="156082" w:themeColor="accent1"/>
          <w:sz w:val="28"/>
          <w:szCs w:val="28"/>
          <w:u w:val="single"/>
        </w:rPr>
      </w:pPr>
      <w:r w:rsidRPr="00A067E2">
        <w:rPr>
          <w:b/>
          <w:bCs/>
          <w:color w:val="156082" w:themeColor="accent1"/>
          <w:sz w:val="28"/>
          <w:szCs w:val="28"/>
          <w:u w:val="single"/>
        </w:rPr>
        <w:t>Business Implications</w:t>
      </w:r>
    </w:p>
    <w:p w14:paraId="4290C1C6" w14:textId="5B6D4462" w:rsidR="004F36FC" w:rsidRDefault="004F36FC" w:rsidP="004F36FC">
      <w:pPr>
        <w:pStyle w:val="ListParagraph"/>
        <w:numPr>
          <w:ilvl w:val="0"/>
          <w:numId w:val="27"/>
        </w:numPr>
      </w:pPr>
      <w:r>
        <w:t>Commercial strategy should prioritise category-level optimisation rather than SKU-level optimisation.</w:t>
      </w:r>
    </w:p>
    <w:p w14:paraId="6C8779D4" w14:textId="08B679DA" w:rsidR="004F36FC" w:rsidRDefault="004F36FC" w:rsidP="004F36FC">
      <w:pPr>
        <w:pStyle w:val="ListParagraph"/>
        <w:numPr>
          <w:ilvl w:val="0"/>
          <w:numId w:val="27"/>
        </w:numPr>
      </w:pPr>
      <w:r>
        <w:t>Marketing investment is likely to be more effective when focused on high-performing categories rather than spread evenly across the catalogue.</w:t>
      </w:r>
    </w:p>
    <w:p w14:paraId="1EAC064D" w14:textId="1DA9733C" w:rsidR="004F36FC" w:rsidRDefault="004F36FC" w:rsidP="004F36FC">
      <w:pPr>
        <w:pStyle w:val="ListParagraph"/>
        <w:numPr>
          <w:ilvl w:val="0"/>
          <w:numId w:val="27"/>
        </w:numPr>
      </w:pPr>
      <w:r>
        <w:t>Underperforming categories may add operational complexity without contributing meaningful revenue, suggesting potential for portfolio rationalisation.</w:t>
      </w:r>
    </w:p>
    <w:p w14:paraId="5766822A" w14:textId="487A7A0F" w:rsidR="00446860" w:rsidRPr="00A067E2" w:rsidRDefault="004F36FC" w:rsidP="004F36FC">
      <w:pPr>
        <w:pStyle w:val="ListParagraph"/>
        <w:numPr>
          <w:ilvl w:val="0"/>
          <w:numId w:val="27"/>
        </w:numPr>
      </w:pPr>
      <w:r>
        <w:t>Seller acquisition and marketplace growth efforts should focus on strengthening supply within core revenue-driving categories.</w:t>
      </w:r>
    </w:p>
    <w:p w14:paraId="6511BA3A" w14:textId="77777777" w:rsidR="00A067E2" w:rsidRPr="00A067E2" w:rsidRDefault="00A067E2"/>
    <w:sectPr w:rsidR="00A067E2" w:rsidRPr="00A067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74105"/>
    <w:multiLevelType w:val="multilevel"/>
    <w:tmpl w:val="5900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D5313"/>
    <w:multiLevelType w:val="multilevel"/>
    <w:tmpl w:val="AE5EF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112D1"/>
    <w:multiLevelType w:val="multilevel"/>
    <w:tmpl w:val="0354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F3034"/>
    <w:multiLevelType w:val="hybridMultilevel"/>
    <w:tmpl w:val="0958F3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DF162D"/>
    <w:multiLevelType w:val="hybridMultilevel"/>
    <w:tmpl w:val="62BE8B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ED6DDB"/>
    <w:multiLevelType w:val="multilevel"/>
    <w:tmpl w:val="9038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5B730E"/>
    <w:multiLevelType w:val="multilevel"/>
    <w:tmpl w:val="22F8CE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A66DC1"/>
    <w:multiLevelType w:val="multilevel"/>
    <w:tmpl w:val="DD86E6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A433C"/>
    <w:multiLevelType w:val="hybridMultilevel"/>
    <w:tmpl w:val="163EC5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B1110D"/>
    <w:multiLevelType w:val="multilevel"/>
    <w:tmpl w:val="8B884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72402B"/>
    <w:multiLevelType w:val="multilevel"/>
    <w:tmpl w:val="DAD49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274F84"/>
    <w:multiLevelType w:val="multilevel"/>
    <w:tmpl w:val="4C68B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9E6261"/>
    <w:multiLevelType w:val="multilevel"/>
    <w:tmpl w:val="7B6AF8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001434"/>
    <w:multiLevelType w:val="multilevel"/>
    <w:tmpl w:val="9D229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2F76AE"/>
    <w:multiLevelType w:val="multilevel"/>
    <w:tmpl w:val="518AA6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AE474F"/>
    <w:multiLevelType w:val="multilevel"/>
    <w:tmpl w:val="F05C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9E1C40"/>
    <w:multiLevelType w:val="multilevel"/>
    <w:tmpl w:val="EE22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982B7B"/>
    <w:multiLevelType w:val="multilevel"/>
    <w:tmpl w:val="97C8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CE17D9"/>
    <w:multiLevelType w:val="multilevel"/>
    <w:tmpl w:val="2AF8E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8C0309"/>
    <w:multiLevelType w:val="multilevel"/>
    <w:tmpl w:val="430EE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E6267F"/>
    <w:multiLevelType w:val="multilevel"/>
    <w:tmpl w:val="01F21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805D75"/>
    <w:multiLevelType w:val="multilevel"/>
    <w:tmpl w:val="3512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FE5A9B"/>
    <w:multiLevelType w:val="multilevel"/>
    <w:tmpl w:val="7B6AF8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5B07ED"/>
    <w:multiLevelType w:val="multilevel"/>
    <w:tmpl w:val="5F2A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80517E"/>
    <w:multiLevelType w:val="multilevel"/>
    <w:tmpl w:val="33AEF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174FC3"/>
    <w:multiLevelType w:val="hybridMultilevel"/>
    <w:tmpl w:val="59767E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170FE5"/>
    <w:multiLevelType w:val="multilevel"/>
    <w:tmpl w:val="074E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2529480">
    <w:abstractNumId w:val="10"/>
  </w:num>
  <w:num w:numId="2" w16cid:durableId="1180706547">
    <w:abstractNumId w:val="1"/>
  </w:num>
  <w:num w:numId="3" w16cid:durableId="215509762">
    <w:abstractNumId w:val="25"/>
  </w:num>
  <w:num w:numId="4" w16cid:durableId="1643732781">
    <w:abstractNumId w:val="3"/>
  </w:num>
  <w:num w:numId="5" w16cid:durableId="1709064519">
    <w:abstractNumId w:val="4"/>
  </w:num>
  <w:num w:numId="6" w16cid:durableId="1439178352">
    <w:abstractNumId w:val="24"/>
  </w:num>
  <w:num w:numId="7" w16cid:durableId="68121948">
    <w:abstractNumId w:val="19"/>
  </w:num>
  <w:num w:numId="8" w16cid:durableId="312297781">
    <w:abstractNumId w:val="26"/>
  </w:num>
  <w:num w:numId="9" w16cid:durableId="970020860">
    <w:abstractNumId w:val="18"/>
  </w:num>
  <w:num w:numId="10" w16cid:durableId="1776054337">
    <w:abstractNumId w:val="5"/>
  </w:num>
  <w:num w:numId="11" w16cid:durableId="514727543">
    <w:abstractNumId w:val="9"/>
  </w:num>
  <w:num w:numId="12" w16cid:durableId="341660973">
    <w:abstractNumId w:val="21"/>
  </w:num>
  <w:num w:numId="13" w16cid:durableId="1011952522">
    <w:abstractNumId w:val="23"/>
  </w:num>
  <w:num w:numId="14" w16cid:durableId="1293025975">
    <w:abstractNumId w:val="2"/>
  </w:num>
  <w:num w:numId="15" w16cid:durableId="565380747">
    <w:abstractNumId w:val="16"/>
  </w:num>
  <w:num w:numId="16" w16cid:durableId="1415394169">
    <w:abstractNumId w:val="7"/>
  </w:num>
  <w:num w:numId="17" w16cid:durableId="1243876853">
    <w:abstractNumId w:val="14"/>
  </w:num>
  <w:num w:numId="18" w16cid:durableId="596522748">
    <w:abstractNumId w:val="6"/>
  </w:num>
  <w:num w:numId="19" w16cid:durableId="2127698389">
    <w:abstractNumId w:val="12"/>
  </w:num>
  <w:num w:numId="20" w16cid:durableId="1921136922">
    <w:abstractNumId w:val="22"/>
  </w:num>
  <w:num w:numId="21" w16cid:durableId="1043359484">
    <w:abstractNumId w:val="11"/>
  </w:num>
  <w:num w:numId="22" w16cid:durableId="790244761">
    <w:abstractNumId w:val="0"/>
  </w:num>
  <w:num w:numId="23" w16cid:durableId="1208178144">
    <w:abstractNumId w:val="15"/>
  </w:num>
  <w:num w:numId="24" w16cid:durableId="675768555">
    <w:abstractNumId w:val="20"/>
  </w:num>
  <w:num w:numId="25" w16cid:durableId="789740930">
    <w:abstractNumId w:val="17"/>
  </w:num>
  <w:num w:numId="26" w16cid:durableId="2087267966">
    <w:abstractNumId w:val="13"/>
  </w:num>
  <w:num w:numId="27" w16cid:durableId="7283085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0E2"/>
    <w:rsid w:val="0008582A"/>
    <w:rsid w:val="00130A20"/>
    <w:rsid w:val="001B10B7"/>
    <w:rsid w:val="00241CEB"/>
    <w:rsid w:val="00283956"/>
    <w:rsid w:val="002A7043"/>
    <w:rsid w:val="002B4C2B"/>
    <w:rsid w:val="003550E8"/>
    <w:rsid w:val="00373F77"/>
    <w:rsid w:val="003970EB"/>
    <w:rsid w:val="003B40E2"/>
    <w:rsid w:val="004305C5"/>
    <w:rsid w:val="00446860"/>
    <w:rsid w:val="00464D04"/>
    <w:rsid w:val="004F36FC"/>
    <w:rsid w:val="006A78F9"/>
    <w:rsid w:val="00A067E2"/>
    <w:rsid w:val="00AB0D43"/>
    <w:rsid w:val="00CB4459"/>
    <w:rsid w:val="00CE258C"/>
    <w:rsid w:val="00E32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3107B"/>
  <w15:chartTrackingRefBased/>
  <w15:docId w15:val="{360BC63B-D37B-43E6-B78F-B890FFE53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40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40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40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40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40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40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40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40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40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40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40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40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40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40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40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40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40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40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40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40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40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40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40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40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40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40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40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40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40E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30A2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644</Words>
  <Characters>3675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Lishani Srikaran</dc:creator>
  <cp:keywords/>
  <dc:description/>
  <cp:lastModifiedBy>Lishani Srikaran</cp:lastModifiedBy>
  <cp:revision>7</cp:revision>
  <dcterms:created xsi:type="dcterms:W3CDTF">2026-01-20T20:36:00Z</dcterms:created>
  <dcterms:modified xsi:type="dcterms:W3CDTF">2026-01-21T18:56:00Z</dcterms:modified>
</cp:coreProperties>
</file>