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FE4A6C" w14:textId="77777777" w:rsidR="00B67A71" w:rsidRPr="001D6E55" w:rsidRDefault="00B67A71" w:rsidP="00B67A71">
      <w:pPr>
        <w:spacing w:after="0"/>
        <w:rPr>
          <w:color w:val="156082" w:themeColor="accent1"/>
          <w:sz w:val="28"/>
          <w:szCs w:val="28"/>
          <w:u w:val="single"/>
        </w:rPr>
      </w:pPr>
      <w:r w:rsidRPr="001D6E55">
        <w:rPr>
          <w:color w:val="156082" w:themeColor="accent1"/>
          <w:sz w:val="28"/>
          <w:szCs w:val="28"/>
          <w:u w:val="single"/>
        </w:rPr>
        <w:t>Customer Behaviour &amp; Retention Written Analysis</w:t>
      </w:r>
    </w:p>
    <w:p w14:paraId="657A1050" w14:textId="77777777" w:rsidR="00B67A71" w:rsidRDefault="00B67A71" w:rsidP="00B67A71">
      <w:pPr>
        <w:spacing w:after="0"/>
        <w:rPr>
          <w:b/>
          <w:bCs/>
          <w:color w:val="156082" w:themeColor="accent1"/>
          <w:sz w:val="24"/>
          <w:szCs w:val="24"/>
        </w:rPr>
      </w:pPr>
    </w:p>
    <w:p w14:paraId="16D0A94D" w14:textId="77777777" w:rsidR="00B67A71" w:rsidRPr="001D6E55" w:rsidRDefault="00B67A71" w:rsidP="00B67A71">
      <w:pPr>
        <w:spacing w:after="0"/>
        <w:rPr>
          <w:b/>
          <w:bCs/>
          <w:color w:val="156082" w:themeColor="accent1"/>
          <w:sz w:val="24"/>
          <w:szCs w:val="24"/>
        </w:rPr>
      </w:pPr>
      <w:r w:rsidRPr="001D6E55">
        <w:rPr>
          <w:b/>
          <w:bCs/>
          <w:color w:val="156082" w:themeColor="accent1"/>
          <w:sz w:val="24"/>
          <w:szCs w:val="24"/>
        </w:rPr>
        <w:t>Objective</w:t>
      </w:r>
      <w:r>
        <w:rPr>
          <w:b/>
          <w:bCs/>
          <w:color w:val="156082" w:themeColor="accent1"/>
          <w:sz w:val="24"/>
          <w:szCs w:val="24"/>
        </w:rPr>
        <w:t>:</w:t>
      </w:r>
    </w:p>
    <w:p w14:paraId="5DFBB973" w14:textId="77777777" w:rsidR="00B67A71" w:rsidRPr="001D6E55" w:rsidRDefault="00B67A71" w:rsidP="00B67A71">
      <w:pPr>
        <w:spacing w:after="0"/>
      </w:pPr>
      <w:r w:rsidRPr="001D6E55">
        <w:t>To analyse customer purchasing behaviour across loyalty, churn, geography, payment preferences, and review engagement in order to understand retention dynamics, customer concentration, and behavioural drivers impacting long-term business sustainability.</w:t>
      </w:r>
    </w:p>
    <w:p w14:paraId="1D065FC0" w14:textId="77777777" w:rsidR="00B67A71" w:rsidRPr="001D6E55" w:rsidRDefault="00B67A71" w:rsidP="00B67A71">
      <w:pPr>
        <w:spacing w:after="0"/>
      </w:pPr>
    </w:p>
    <w:p w14:paraId="1893FC9A" w14:textId="77777777" w:rsidR="00B67A71" w:rsidRPr="001D6E55" w:rsidRDefault="00B67A71" w:rsidP="00B67A71">
      <w:pPr>
        <w:spacing w:after="0"/>
        <w:rPr>
          <w:b/>
          <w:bCs/>
          <w:color w:val="156082" w:themeColor="accent1"/>
          <w:sz w:val="24"/>
          <w:szCs w:val="24"/>
        </w:rPr>
      </w:pPr>
      <w:r w:rsidRPr="001D6E55">
        <w:rPr>
          <w:b/>
          <w:bCs/>
          <w:color w:val="156082" w:themeColor="accent1"/>
          <w:sz w:val="24"/>
          <w:szCs w:val="24"/>
        </w:rPr>
        <w:t>Approach</w:t>
      </w:r>
      <w:r>
        <w:rPr>
          <w:b/>
          <w:bCs/>
          <w:color w:val="156082" w:themeColor="accent1"/>
          <w:sz w:val="24"/>
          <w:szCs w:val="24"/>
        </w:rPr>
        <w:t>:</w:t>
      </w:r>
    </w:p>
    <w:p w14:paraId="004E6E1A" w14:textId="77777777" w:rsidR="00B67A71" w:rsidRPr="001D6E55" w:rsidRDefault="00B67A71" w:rsidP="00B67A71">
      <w:pPr>
        <w:spacing w:after="0"/>
      </w:pPr>
      <w:r w:rsidRPr="001D6E55">
        <w:t xml:space="preserve">Using SQL-based customer-level aggregations, multiple analytical dimensions were evaluated. Customers were classified by purchase frequency to identify repeat behaviour, and churn status was determined using a recency-based definition relative to the dataset’s latest transaction date. Geographic distribution was analysed by aggregating customers and orders at state and city levels. Payment behaviour was assessed through payment method usage and </w:t>
      </w:r>
      <w:proofErr w:type="spellStart"/>
      <w:r w:rsidRPr="001D6E55">
        <w:t>installment</w:t>
      </w:r>
      <w:proofErr w:type="spellEnd"/>
      <w:r w:rsidRPr="001D6E55">
        <w:t xml:space="preserve"> patterns, while customer satisfaction was explored by linking review scores and review engagement to purchasing frequency. Results were summarised using descriptive metrics such as counts, averages, and percentages to enable behavioural comparison across segments.</w:t>
      </w:r>
    </w:p>
    <w:p w14:paraId="5BE279DD" w14:textId="77777777" w:rsidR="00B67A71" w:rsidRPr="001D6E55" w:rsidRDefault="00B67A71" w:rsidP="00B67A71">
      <w:pPr>
        <w:spacing w:after="0"/>
      </w:pPr>
    </w:p>
    <w:p w14:paraId="1A6A09C0" w14:textId="77777777" w:rsidR="00B67A71" w:rsidRPr="001D6E55" w:rsidRDefault="00B67A71" w:rsidP="00B67A71">
      <w:pPr>
        <w:spacing w:after="0"/>
        <w:rPr>
          <w:b/>
          <w:bCs/>
          <w:color w:val="156082" w:themeColor="accent1"/>
          <w:sz w:val="24"/>
          <w:szCs w:val="24"/>
        </w:rPr>
      </w:pPr>
      <w:r w:rsidRPr="001D6E55">
        <w:rPr>
          <w:b/>
          <w:bCs/>
          <w:color w:val="156082" w:themeColor="accent1"/>
          <w:sz w:val="24"/>
          <w:szCs w:val="24"/>
        </w:rPr>
        <w:t>Key Findings</w:t>
      </w:r>
      <w:r>
        <w:rPr>
          <w:b/>
          <w:bCs/>
          <w:color w:val="156082" w:themeColor="accent1"/>
          <w:sz w:val="24"/>
          <w:szCs w:val="24"/>
        </w:rPr>
        <w:t>:</w:t>
      </w:r>
    </w:p>
    <w:p w14:paraId="7104D347" w14:textId="77777777" w:rsidR="00B67A71" w:rsidRPr="001D6E55" w:rsidRDefault="00B67A71" w:rsidP="00B67A71">
      <w:pPr>
        <w:numPr>
          <w:ilvl w:val="0"/>
          <w:numId w:val="1"/>
        </w:numPr>
        <w:spacing w:after="0"/>
      </w:pPr>
      <w:r w:rsidRPr="001D6E55">
        <w:t>Customer loyalty is extremely low, with only 3.12% of customers classified as repeat purchasers. The overwhelming majority (over 96%) place a single order, indicating weak retention and limited customer lifetime value under the current operating model.</w:t>
      </w:r>
    </w:p>
    <w:p w14:paraId="612A4466" w14:textId="77777777" w:rsidR="00B67A71" w:rsidRPr="001D6E55" w:rsidRDefault="00B67A71" w:rsidP="00B67A71">
      <w:pPr>
        <w:numPr>
          <w:ilvl w:val="0"/>
          <w:numId w:val="1"/>
        </w:numPr>
        <w:spacing w:after="0"/>
      </w:pPr>
      <w:r w:rsidRPr="001D6E55">
        <w:t>Churn is structurally high, with 70.33% of customers classified as churned based on recency. This aligns closely with the low repeat customer rate and suggests that most customers disengage shortly after their first purchase rather than lapsing gradually over time.</w:t>
      </w:r>
    </w:p>
    <w:p w14:paraId="2D8EF5C4" w14:textId="77777777" w:rsidR="00B67A71" w:rsidRPr="001D6E55" w:rsidRDefault="00B67A71" w:rsidP="00B67A71">
      <w:pPr>
        <w:numPr>
          <w:ilvl w:val="0"/>
          <w:numId w:val="1"/>
        </w:numPr>
        <w:spacing w:after="0"/>
      </w:pPr>
      <w:r w:rsidRPr="001D6E55">
        <w:t>Customer demand is highly concentrated geographically, particularly in São Paulo (SP) and Rio de Janeiro (RJ). São Paulo alone accounts for a disproportionate share of customers and orders, while secondary cities contribute meaningfully but at much smaller scale. Despite this concentration, average orders per customer remain consistently close to 1.0 across all cities, reinforcing the single-purchase behavioural pattern nationwide rather than being region-specific.</w:t>
      </w:r>
    </w:p>
    <w:p w14:paraId="60772B94" w14:textId="77777777" w:rsidR="00B67A71" w:rsidRPr="001D6E55" w:rsidRDefault="00B67A71" w:rsidP="00B67A71">
      <w:pPr>
        <w:numPr>
          <w:ilvl w:val="0"/>
          <w:numId w:val="1"/>
        </w:numPr>
        <w:spacing w:after="0"/>
      </w:pPr>
      <w:r w:rsidRPr="001D6E55">
        <w:t xml:space="preserve">Credit cards dominate payment behaviour, used by the vast majority of customers and orders. The average of 3.51 </w:t>
      </w:r>
      <w:proofErr w:type="spellStart"/>
      <w:r w:rsidRPr="001D6E55">
        <w:t>installments</w:t>
      </w:r>
      <w:proofErr w:type="spellEnd"/>
      <w:r w:rsidRPr="001D6E55">
        <w:t xml:space="preserve"> for credit card transactions indicates strong reliance on </w:t>
      </w:r>
      <w:proofErr w:type="spellStart"/>
      <w:r w:rsidRPr="001D6E55">
        <w:t>installment</w:t>
      </w:r>
      <w:proofErr w:type="spellEnd"/>
      <w:r w:rsidRPr="001D6E55">
        <w:t xml:space="preserve">-based purchasing, while alternative methods such as </w:t>
      </w:r>
      <w:proofErr w:type="spellStart"/>
      <w:r w:rsidRPr="001D6E55">
        <w:t>boleto</w:t>
      </w:r>
      <w:proofErr w:type="spellEnd"/>
      <w:r w:rsidRPr="001D6E55">
        <w:t>, debit card, and vouchers are primarily used for one-off, single-</w:t>
      </w:r>
      <w:proofErr w:type="spellStart"/>
      <w:r w:rsidRPr="001D6E55">
        <w:t>installment</w:t>
      </w:r>
      <w:proofErr w:type="spellEnd"/>
      <w:r w:rsidRPr="001D6E55">
        <w:t xml:space="preserve"> purchases.</w:t>
      </w:r>
    </w:p>
    <w:p w14:paraId="56CFC2A0" w14:textId="77777777" w:rsidR="00B67A71" w:rsidRPr="001D6E55" w:rsidRDefault="00B67A71" w:rsidP="00B67A71">
      <w:pPr>
        <w:numPr>
          <w:ilvl w:val="0"/>
          <w:numId w:val="1"/>
        </w:numPr>
        <w:spacing w:after="0"/>
      </w:pPr>
      <w:r w:rsidRPr="001D6E55">
        <w:t>Customer satisfaction shows limited correlation with repeat purchasing. Across all review score buckets, average orders per customer remain tightly clustered around 1.02–1.06. Even customers providing the highest review scores do not demonstrate meaningfully higher repeat purchase behaviour, suggesting satisfaction alone is not sufficient to drive retention.</w:t>
      </w:r>
    </w:p>
    <w:p w14:paraId="7B6A699C" w14:textId="77777777" w:rsidR="00B67A71" w:rsidRPr="001D6E55" w:rsidRDefault="00B67A71" w:rsidP="00B67A71">
      <w:pPr>
        <w:numPr>
          <w:ilvl w:val="0"/>
          <w:numId w:val="1"/>
        </w:numPr>
        <w:spacing w:after="0"/>
      </w:pPr>
      <w:r w:rsidRPr="001D6E55">
        <w:t>Review engagement (leaving a comment vs. not) similarly does not translate into stronger purchasing frequency, indicating that feedback activity reflects transaction-level sentiment rather than long-term loyalty.</w:t>
      </w:r>
    </w:p>
    <w:p w14:paraId="3C627EAE" w14:textId="77777777" w:rsidR="00B67A71" w:rsidRPr="001D6E55" w:rsidRDefault="00B67A71" w:rsidP="00B67A71">
      <w:pPr>
        <w:spacing w:after="0"/>
      </w:pPr>
    </w:p>
    <w:p w14:paraId="14678B16" w14:textId="77777777" w:rsidR="00670127" w:rsidRDefault="00670127" w:rsidP="00B67A71">
      <w:pPr>
        <w:spacing w:after="0"/>
        <w:rPr>
          <w:b/>
          <w:bCs/>
          <w:color w:val="156082" w:themeColor="accent1"/>
          <w:sz w:val="24"/>
          <w:szCs w:val="24"/>
        </w:rPr>
      </w:pPr>
    </w:p>
    <w:p w14:paraId="7AB97E84" w14:textId="77777777" w:rsidR="00670127" w:rsidRDefault="00670127" w:rsidP="00B67A71">
      <w:pPr>
        <w:spacing w:after="0"/>
        <w:rPr>
          <w:b/>
          <w:bCs/>
          <w:color w:val="156082" w:themeColor="accent1"/>
          <w:sz w:val="24"/>
          <w:szCs w:val="24"/>
        </w:rPr>
      </w:pPr>
    </w:p>
    <w:p w14:paraId="29A2C08A" w14:textId="634F77F3" w:rsidR="00B67A71" w:rsidRPr="001D6E55" w:rsidRDefault="00B67A71" w:rsidP="00B67A71">
      <w:pPr>
        <w:spacing w:after="0"/>
        <w:rPr>
          <w:b/>
          <w:bCs/>
          <w:color w:val="156082" w:themeColor="accent1"/>
          <w:sz w:val="24"/>
          <w:szCs w:val="24"/>
        </w:rPr>
      </w:pPr>
      <w:r w:rsidRPr="001D6E55">
        <w:rPr>
          <w:b/>
          <w:bCs/>
          <w:color w:val="156082" w:themeColor="accent1"/>
          <w:sz w:val="24"/>
          <w:szCs w:val="24"/>
        </w:rPr>
        <w:lastRenderedPageBreak/>
        <w:t>Business Implications</w:t>
      </w:r>
      <w:r>
        <w:rPr>
          <w:b/>
          <w:bCs/>
          <w:color w:val="156082" w:themeColor="accent1"/>
          <w:sz w:val="24"/>
          <w:szCs w:val="24"/>
        </w:rPr>
        <w:t>:</w:t>
      </w:r>
    </w:p>
    <w:p w14:paraId="63C1341D" w14:textId="77777777" w:rsidR="00B67A71" w:rsidRPr="001D6E55" w:rsidRDefault="00B67A71" w:rsidP="00B67A71">
      <w:pPr>
        <w:numPr>
          <w:ilvl w:val="0"/>
          <w:numId w:val="2"/>
        </w:numPr>
        <w:spacing w:after="0"/>
      </w:pPr>
      <w:r w:rsidRPr="001D6E55">
        <w:t>Retention represents the largest growth opportunity. With extremely low repeat rates and high churn, even modest improvements in customer retention would have a disproportionate impact on revenue and customer lifetime value.</w:t>
      </w:r>
    </w:p>
    <w:p w14:paraId="05F92F67" w14:textId="77777777" w:rsidR="00B67A71" w:rsidRPr="001D6E55" w:rsidRDefault="00B67A71" w:rsidP="00B67A71">
      <w:pPr>
        <w:numPr>
          <w:ilvl w:val="0"/>
          <w:numId w:val="2"/>
        </w:numPr>
        <w:spacing w:after="0"/>
      </w:pPr>
      <w:r w:rsidRPr="001D6E55">
        <w:t>Post-purchase engagement strategies should be prioritised, including targeted reactivation campaigns, loyalty incentives, and personalised follow-ups designed to convert one-time buyers into repeat customers.</w:t>
      </w:r>
    </w:p>
    <w:p w14:paraId="439C475A" w14:textId="77777777" w:rsidR="00B67A71" w:rsidRPr="001D6E55" w:rsidRDefault="00B67A71" w:rsidP="00B67A71">
      <w:pPr>
        <w:numPr>
          <w:ilvl w:val="0"/>
          <w:numId w:val="2"/>
        </w:numPr>
        <w:spacing w:after="0"/>
      </w:pPr>
      <w:r w:rsidRPr="001D6E55">
        <w:t>Geographic concentration enables focused optimisation, particularly in São Paulo and Rio de Janeiro, where retention initiatives, delivery experience improvements, and localised promotions could yield higher returns due to customer density.</w:t>
      </w:r>
    </w:p>
    <w:p w14:paraId="5D6A25BB" w14:textId="77777777" w:rsidR="00B67A71" w:rsidRPr="001D6E55" w:rsidRDefault="00B67A71" w:rsidP="00B67A71">
      <w:pPr>
        <w:numPr>
          <w:ilvl w:val="0"/>
          <w:numId w:val="2"/>
        </w:numPr>
        <w:spacing w:after="0"/>
      </w:pPr>
      <w:proofErr w:type="spellStart"/>
      <w:r w:rsidRPr="001D6E55">
        <w:t>Installment</w:t>
      </w:r>
      <w:proofErr w:type="spellEnd"/>
      <w:r w:rsidRPr="001D6E55">
        <w:t xml:space="preserve">-based pricing is a critical enabler of conversion, particularly for credit card users. Optimising </w:t>
      </w:r>
      <w:proofErr w:type="spellStart"/>
      <w:r w:rsidRPr="001D6E55">
        <w:t>installment</w:t>
      </w:r>
      <w:proofErr w:type="spellEnd"/>
      <w:r w:rsidRPr="001D6E55">
        <w:t xml:space="preserve"> offers or aligning promotions with </w:t>
      </w:r>
      <w:proofErr w:type="spellStart"/>
      <w:r w:rsidRPr="001D6E55">
        <w:t>installment</w:t>
      </w:r>
      <w:proofErr w:type="spellEnd"/>
      <w:r w:rsidRPr="001D6E55">
        <w:t xml:space="preserve"> thresholds may improve both acquisition and perceived affordability.</w:t>
      </w:r>
    </w:p>
    <w:p w14:paraId="4C364F33" w14:textId="77777777" w:rsidR="00B67A71" w:rsidRPr="001D6E55" w:rsidRDefault="00B67A71" w:rsidP="00B67A71">
      <w:pPr>
        <w:numPr>
          <w:ilvl w:val="0"/>
          <w:numId w:val="2"/>
        </w:numPr>
        <w:spacing w:after="0"/>
      </w:pPr>
      <w:r w:rsidRPr="001D6E55">
        <w:t>Improving satisfaction alone is insufficient to drive loyalty. Since high review scores do not translate into repeat behaviour, retention efforts should extend beyond transactional experience to include value reinforcement, habit formation, and incentives for subsequent purchases.</w:t>
      </w:r>
    </w:p>
    <w:p w14:paraId="5A893051" w14:textId="77777777" w:rsidR="00B67A71" w:rsidRDefault="00B67A71" w:rsidP="00B67A71">
      <w:pPr>
        <w:spacing w:after="0"/>
      </w:pPr>
    </w:p>
    <w:p w14:paraId="1FAC0A7C" w14:textId="77777777" w:rsidR="00446860" w:rsidRDefault="00446860"/>
    <w:sectPr w:rsidR="00446860" w:rsidSect="00B67A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36B6692"/>
    <w:multiLevelType w:val="multilevel"/>
    <w:tmpl w:val="77B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8352D4"/>
    <w:multiLevelType w:val="multilevel"/>
    <w:tmpl w:val="B8A8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666895">
    <w:abstractNumId w:val="1"/>
  </w:num>
  <w:num w:numId="2" w16cid:durableId="1447240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A71"/>
    <w:rsid w:val="0003244D"/>
    <w:rsid w:val="00446860"/>
    <w:rsid w:val="00670127"/>
    <w:rsid w:val="00B67A71"/>
    <w:rsid w:val="00E3257D"/>
    <w:rsid w:val="00F30540"/>
  </w:rsids>
  <m:mathPr>
    <m:mathFont m:val="Cambria Math"/>
    <m:brkBin m:val="before"/>
    <m:brkBinSub m:val="--"/>
    <m:smallFrac m:val="0"/>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45131"/>
  <w15:chartTrackingRefBased/>
  <w15:docId w15:val="{0E16C178-A039-45E9-9791-931D609C6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A71"/>
  </w:style>
  <w:style w:type="paragraph" w:styleId="Heading1">
    <w:name w:val="heading 1"/>
    <w:basedOn w:val="Normal"/>
    <w:next w:val="Normal"/>
    <w:link w:val="Heading1Char"/>
    <w:uiPriority w:val="9"/>
    <w:qFormat/>
    <w:rsid w:val="00B67A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A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A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A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A71"/>
    <w:rPr>
      <w:rFonts w:eastAsiaTheme="majorEastAsia" w:cstheme="majorBidi"/>
      <w:color w:val="272727" w:themeColor="text1" w:themeTint="D8"/>
    </w:rPr>
  </w:style>
  <w:style w:type="paragraph" w:styleId="Title">
    <w:name w:val="Title"/>
    <w:basedOn w:val="Normal"/>
    <w:next w:val="Normal"/>
    <w:link w:val="TitleChar"/>
    <w:uiPriority w:val="10"/>
    <w:qFormat/>
    <w:rsid w:val="00B67A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A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A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A71"/>
    <w:pPr>
      <w:spacing w:before="160"/>
      <w:jc w:val="center"/>
    </w:pPr>
    <w:rPr>
      <w:i/>
      <w:iCs/>
      <w:color w:val="404040" w:themeColor="text1" w:themeTint="BF"/>
    </w:rPr>
  </w:style>
  <w:style w:type="character" w:customStyle="1" w:styleId="QuoteChar">
    <w:name w:val="Quote Char"/>
    <w:basedOn w:val="DefaultParagraphFont"/>
    <w:link w:val="Quote"/>
    <w:uiPriority w:val="29"/>
    <w:rsid w:val="00B67A71"/>
    <w:rPr>
      <w:i/>
      <w:iCs/>
      <w:color w:val="404040" w:themeColor="text1" w:themeTint="BF"/>
    </w:rPr>
  </w:style>
  <w:style w:type="paragraph" w:styleId="ListParagraph">
    <w:name w:val="List Paragraph"/>
    <w:basedOn w:val="Normal"/>
    <w:uiPriority w:val="34"/>
    <w:qFormat/>
    <w:rsid w:val="00B67A71"/>
    <w:pPr>
      <w:ind w:left="720"/>
      <w:contextualSpacing/>
    </w:pPr>
  </w:style>
  <w:style w:type="character" w:styleId="IntenseEmphasis">
    <w:name w:val="Intense Emphasis"/>
    <w:basedOn w:val="DefaultParagraphFont"/>
    <w:uiPriority w:val="21"/>
    <w:qFormat/>
    <w:rsid w:val="00B67A71"/>
    <w:rPr>
      <w:i/>
      <w:iCs/>
      <w:color w:val="0F4761" w:themeColor="accent1" w:themeShade="BF"/>
    </w:rPr>
  </w:style>
  <w:style w:type="paragraph" w:styleId="IntenseQuote">
    <w:name w:val="Intense Quote"/>
    <w:basedOn w:val="Normal"/>
    <w:next w:val="Normal"/>
    <w:link w:val="IntenseQuoteChar"/>
    <w:uiPriority w:val="30"/>
    <w:qFormat/>
    <w:rsid w:val="00B67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A71"/>
    <w:rPr>
      <w:i/>
      <w:iCs/>
      <w:color w:val="0F4761" w:themeColor="accent1" w:themeShade="BF"/>
    </w:rPr>
  </w:style>
  <w:style w:type="character" w:styleId="IntenseReference">
    <w:name w:val="Intense Reference"/>
    <w:basedOn w:val="DefaultParagraphFont"/>
    <w:uiPriority w:val="32"/>
    <w:qFormat/>
    <w:rsid w:val="00B67A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625</Words>
  <Characters>3569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Lishani Srikaran</dc:creator>
  <cp:keywords/>
  <dc:description/>
  <cp:lastModifiedBy>Lishani Srikaran</cp:lastModifiedBy>
  <cp:revision>2</cp:revision>
  <dcterms:created xsi:type="dcterms:W3CDTF">2026-01-07T19:04:00Z</dcterms:created>
  <dcterms:modified xsi:type="dcterms:W3CDTF">2026-01-07T19:17:00Z</dcterms:modified>
</cp:coreProperties>
</file>