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6EA0D1" w14:textId="39488565" w:rsidR="004A64A8" w:rsidRPr="004A64A8" w:rsidRDefault="004A64A8" w:rsidP="004A64A8">
      <w:pPr>
        <w:rPr>
          <w:color w:val="156082" w:themeColor="accent1"/>
          <w:sz w:val="28"/>
          <w:szCs w:val="28"/>
          <w:u w:val="single"/>
        </w:rPr>
      </w:pPr>
      <w:r w:rsidRPr="00A067E2">
        <w:rPr>
          <w:color w:val="156082" w:themeColor="accent1"/>
          <w:sz w:val="28"/>
          <w:szCs w:val="28"/>
          <w:u w:val="single"/>
        </w:rPr>
        <w:t>Revenue Analysis: Product</w:t>
      </w:r>
      <w:r>
        <w:rPr>
          <w:color w:val="156082" w:themeColor="accent1"/>
          <w:sz w:val="28"/>
          <w:szCs w:val="28"/>
          <w:u w:val="single"/>
        </w:rPr>
        <w:t>, Band,</w:t>
      </w:r>
      <w:r w:rsidRPr="00A067E2">
        <w:rPr>
          <w:color w:val="156082" w:themeColor="accent1"/>
          <w:sz w:val="28"/>
          <w:szCs w:val="28"/>
          <w:u w:val="single"/>
        </w:rPr>
        <w:t xml:space="preserve"> and Category Performance</w:t>
      </w:r>
    </w:p>
    <w:p w14:paraId="1423DA31" w14:textId="419CF4F8" w:rsidR="004A64A8" w:rsidRPr="004A64A8" w:rsidRDefault="004A64A8" w:rsidP="004A64A8">
      <w:pPr>
        <w:rPr>
          <w:b/>
          <w:bCs/>
          <w:color w:val="156082" w:themeColor="accent1"/>
          <w:sz w:val="24"/>
          <w:szCs w:val="24"/>
        </w:rPr>
      </w:pPr>
      <w:r w:rsidRPr="004A64A8">
        <w:rPr>
          <w:b/>
          <w:bCs/>
          <w:color w:val="156082" w:themeColor="accent1"/>
          <w:sz w:val="24"/>
          <w:szCs w:val="24"/>
        </w:rPr>
        <w:t>Objective</w:t>
      </w:r>
    </w:p>
    <w:p w14:paraId="5B920203" w14:textId="1BB9CD18" w:rsidR="004A64A8" w:rsidRPr="004A64A8" w:rsidRDefault="004A64A8" w:rsidP="004A64A8">
      <w:r w:rsidRPr="004A64A8">
        <w:t>The objective of this analysis was to understand how revenue is distributed across products and categories, assess concentration patterns, and identify the most effective commercial levers for growth. The findings are intended to inform merchandising, category prioritisation, and catalogue strategy.</w:t>
      </w:r>
    </w:p>
    <w:p w14:paraId="0B641492" w14:textId="77777777" w:rsidR="004A64A8" w:rsidRPr="004A64A8" w:rsidRDefault="004A64A8" w:rsidP="004A64A8">
      <w:pPr>
        <w:rPr>
          <w:b/>
          <w:bCs/>
          <w:color w:val="156082" w:themeColor="accent1"/>
          <w:sz w:val="24"/>
          <w:szCs w:val="24"/>
        </w:rPr>
      </w:pPr>
      <w:r w:rsidRPr="004A64A8">
        <w:rPr>
          <w:b/>
          <w:bCs/>
          <w:color w:val="156082" w:themeColor="accent1"/>
          <w:sz w:val="24"/>
          <w:szCs w:val="24"/>
        </w:rPr>
        <w:t>Approach</w:t>
      </w:r>
    </w:p>
    <w:p w14:paraId="1975D299" w14:textId="77777777" w:rsidR="004A64A8" w:rsidRPr="004A64A8" w:rsidRDefault="004A64A8" w:rsidP="004A64A8">
      <w:r w:rsidRPr="004A64A8">
        <w:t>Revenue was analysed at three levels:</w:t>
      </w:r>
    </w:p>
    <w:p w14:paraId="581CFBD7" w14:textId="77777777" w:rsidR="004A64A8" w:rsidRPr="004A64A8" w:rsidRDefault="004A64A8" w:rsidP="00620E0E">
      <w:pPr>
        <w:numPr>
          <w:ilvl w:val="0"/>
          <w:numId w:val="1"/>
        </w:numPr>
        <w:spacing w:after="0"/>
      </w:pPr>
      <w:r w:rsidRPr="004A64A8">
        <w:rPr>
          <w:b/>
          <w:bCs/>
        </w:rPr>
        <w:t>Product level:</w:t>
      </w:r>
      <w:r w:rsidRPr="004A64A8">
        <w:t xml:space="preserve"> Total lifetime revenue per </w:t>
      </w:r>
      <w:proofErr w:type="spellStart"/>
      <w:r w:rsidRPr="004A64A8">
        <w:t>product_id</w:t>
      </w:r>
      <w:proofErr w:type="spellEnd"/>
      <w:r w:rsidRPr="004A64A8">
        <w:t xml:space="preserve"> was aggregated, ranked using DENSE_RANK(), and expressed as a percentage of total revenue.</w:t>
      </w:r>
    </w:p>
    <w:p w14:paraId="6AF65326" w14:textId="346C670C" w:rsidR="004A64A8" w:rsidRPr="004A64A8" w:rsidRDefault="004A64A8" w:rsidP="00620E0E">
      <w:pPr>
        <w:numPr>
          <w:ilvl w:val="0"/>
          <w:numId w:val="1"/>
        </w:numPr>
        <w:spacing w:after="0"/>
      </w:pPr>
      <w:r w:rsidRPr="004A64A8">
        <w:rPr>
          <w:b/>
          <w:bCs/>
        </w:rPr>
        <w:t>Revenue bands:</w:t>
      </w:r>
      <w:r w:rsidRPr="004A64A8">
        <w:t xml:space="preserve"> Products were grouped into lifetime revenue bands using a CASE statement, with product counts</w:t>
      </w:r>
      <w:r>
        <w:t xml:space="preserve">, </w:t>
      </w:r>
      <w:r w:rsidRPr="004A64A8">
        <w:t>revenue contribution</w:t>
      </w:r>
      <w:r>
        <w:t xml:space="preserve"> and </w:t>
      </w:r>
      <w:r w:rsidRPr="004A64A8">
        <w:t>percentage of total revenue</w:t>
      </w:r>
      <w:r>
        <w:t xml:space="preserve"> </w:t>
      </w:r>
      <w:r w:rsidRPr="004A64A8">
        <w:t>calculated per band.</w:t>
      </w:r>
    </w:p>
    <w:p w14:paraId="0EACF133" w14:textId="459BF416" w:rsidR="00620E0E" w:rsidRDefault="004A64A8" w:rsidP="004A64A8">
      <w:pPr>
        <w:numPr>
          <w:ilvl w:val="0"/>
          <w:numId w:val="1"/>
        </w:numPr>
        <w:spacing w:after="0"/>
      </w:pPr>
      <w:r w:rsidRPr="004A64A8">
        <w:rPr>
          <w:b/>
          <w:bCs/>
        </w:rPr>
        <w:t>Category level:</w:t>
      </w:r>
      <w:r w:rsidRPr="004A64A8">
        <w:t xml:space="preserve"> Total revenue per category was aggregated, ranked, and expressed as a percentage of overall revenue.</w:t>
      </w:r>
    </w:p>
    <w:p w14:paraId="2B97A821" w14:textId="77777777" w:rsidR="00620E0E" w:rsidRDefault="00620E0E" w:rsidP="00620E0E">
      <w:pPr>
        <w:spacing w:after="0"/>
        <w:ind w:left="720"/>
      </w:pPr>
    </w:p>
    <w:p w14:paraId="50A29178" w14:textId="68548CDD" w:rsidR="004A64A8" w:rsidRPr="004A64A8" w:rsidRDefault="004A64A8" w:rsidP="004A64A8">
      <w:r w:rsidRPr="004A64A8">
        <w:t>This structure enables comparison between individual products, performance tiers, and category concentration.</w:t>
      </w:r>
    </w:p>
    <w:p w14:paraId="07B38AD4" w14:textId="77777777" w:rsidR="004A64A8" w:rsidRDefault="004A64A8" w:rsidP="004A64A8">
      <w:pPr>
        <w:rPr>
          <w:b/>
          <w:bCs/>
          <w:color w:val="156082" w:themeColor="accent1"/>
          <w:sz w:val="24"/>
          <w:szCs w:val="24"/>
        </w:rPr>
      </w:pPr>
      <w:r w:rsidRPr="004A64A8">
        <w:rPr>
          <w:b/>
          <w:bCs/>
          <w:color w:val="156082" w:themeColor="accent1"/>
          <w:sz w:val="24"/>
          <w:szCs w:val="24"/>
        </w:rPr>
        <w:t>Key Findings: Product-Level Performance</w:t>
      </w:r>
    </w:p>
    <w:p w14:paraId="108D5F4A" w14:textId="1A8D45B8" w:rsidR="00620E0E" w:rsidRPr="004A64A8" w:rsidRDefault="00620E0E" w:rsidP="004A64A8">
      <w:pPr>
        <w:rPr>
          <w:b/>
          <w:bCs/>
          <w:color w:val="156082" w:themeColor="accent1"/>
          <w:sz w:val="24"/>
          <w:szCs w:val="24"/>
        </w:rPr>
      </w:pPr>
      <w:r w:rsidRPr="00BB6BAC">
        <w:rPr>
          <w:b/>
          <w:bCs/>
          <w:noProof/>
          <w:color w:val="156082" w:themeColor="accent1"/>
          <w:sz w:val="24"/>
          <w:szCs w:val="24"/>
        </w:rPr>
        <w:drawing>
          <wp:inline distT="0" distB="0" distL="0" distR="0" wp14:anchorId="38B86149" wp14:editId="5C98561B">
            <wp:extent cx="5731510" cy="2590800"/>
            <wp:effectExtent l="0" t="0" r="2540" b="0"/>
            <wp:docPr id="297581834" name="Picture 1"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81834" name="Picture 1" descr="A graph with blue and orange lines&#10;&#10;Description automatically generated"/>
                    <pic:cNvPicPr/>
                  </pic:nvPicPr>
                  <pic:blipFill>
                    <a:blip r:embed="rId7"/>
                    <a:stretch>
                      <a:fillRect/>
                    </a:stretch>
                  </pic:blipFill>
                  <pic:spPr>
                    <a:xfrm>
                      <a:off x="0" y="0"/>
                      <a:ext cx="5731510" cy="2590800"/>
                    </a:xfrm>
                    <a:prstGeom prst="rect">
                      <a:avLst/>
                    </a:prstGeom>
                  </pic:spPr>
                </pic:pic>
              </a:graphicData>
            </a:graphic>
          </wp:inline>
        </w:drawing>
      </w:r>
    </w:p>
    <w:p w14:paraId="0DE19F84" w14:textId="77777777" w:rsidR="004A64A8" w:rsidRPr="004A64A8" w:rsidRDefault="004A64A8" w:rsidP="00620E0E">
      <w:pPr>
        <w:pStyle w:val="ListParagraph"/>
        <w:numPr>
          <w:ilvl w:val="0"/>
          <w:numId w:val="6"/>
        </w:numPr>
      </w:pPr>
      <w:r w:rsidRPr="004A64A8">
        <w:t xml:space="preserve">Revenue is extremely diffuse across individual products. The highest-grossing product contributes </w:t>
      </w:r>
      <w:r w:rsidRPr="00620E0E">
        <w:rPr>
          <w:b/>
          <w:bCs/>
        </w:rPr>
        <w:t>0.47%</w:t>
      </w:r>
      <w:r w:rsidRPr="004A64A8">
        <w:t xml:space="preserve"> of total revenue, with the next two contributing </w:t>
      </w:r>
      <w:r w:rsidRPr="00620E0E">
        <w:rPr>
          <w:b/>
          <w:bCs/>
        </w:rPr>
        <w:t>0.40%</w:t>
      </w:r>
      <w:r w:rsidRPr="004A64A8">
        <w:t xml:space="preserve"> and </w:t>
      </w:r>
      <w:r w:rsidRPr="00620E0E">
        <w:rPr>
          <w:b/>
          <w:bCs/>
        </w:rPr>
        <w:t>0.36%</w:t>
      </w:r>
      <w:r w:rsidRPr="004A64A8">
        <w:t xml:space="preserve"> respectively. Even within the top 100 products, no SKU contributes more than 0.5%.</w:t>
      </w:r>
    </w:p>
    <w:p w14:paraId="23B13CC8" w14:textId="77777777" w:rsidR="004A64A8" w:rsidRPr="004A64A8" w:rsidRDefault="004A64A8" w:rsidP="00620E0E">
      <w:pPr>
        <w:pStyle w:val="ListParagraph"/>
        <w:numPr>
          <w:ilvl w:val="0"/>
          <w:numId w:val="6"/>
        </w:numPr>
      </w:pPr>
      <w:r w:rsidRPr="004A64A8">
        <w:t>Revenue declines gradually across product rankings rather than dropping sharply after the top few items, indicating a long-tail assortment with no commercially dominant products.</w:t>
      </w:r>
    </w:p>
    <w:p w14:paraId="771AADA5" w14:textId="63548D37" w:rsidR="004A64A8" w:rsidRPr="004A64A8" w:rsidRDefault="004A64A8" w:rsidP="008510FE">
      <w:pPr>
        <w:pStyle w:val="ListParagraph"/>
        <w:numPr>
          <w:ilvl w:val="0"/>
          <w:numId w:val="6"/>
        </w:numPr>
      </w:pPr>
      <w:r w:rsidRPr="004A64A8">
        <w:t>Optimising individual SKUs in isolation is unlikely to materially impact total revenue. Product-level improvements are most effective when</w:t>
      </w:r>
      <w:r w:rsidR="00620E0E">
        <w:t xml:space="preserve"> either</w:t>
      </w:r>
      <w:r w:rsidRPr="004A64A8">
        <w:t xml:space="preserve"> applied systematically </w:t>
      </w:r>
      <w:r w:rsidRPr="004A64A8">
        <w:lastRenderedPageBreak/>
        <w:t>within high-value categories or performance tiers</w:t>
      </w:r>
      <w:r w:rsidR="00620E0E">
        <w:t xml:space="preserve"> or more broadly e.g. platform experience or customer engagement.</w:t>
      </w:r>
    </w:p>
    <w:p w14:paraId="55847F49" w14:textId="77777777" w:rsidR="004A64A8" w:rsidRDefault="004A64A8" w:rsidP="004A64A8">
      <w:pPr>
        <w:rPr>
          <w:b/>
          <w:bCs/>
          <w:color w:val="156082" w:themeColor="accent1"/>
          <w:sz w:val="24"/>
          <w:szCs w:val="24"/>
        </w:rPr>
      </w:pPr>
      <w:r w:rsidRPr="004A64A8">
        <w:rPr>
          <w:b/>
          <w:bCs/>
          <w:color w:val="156082" w:themeColor="accent1"/>
          <w:sz w:val="24"/>
          <w:szCs w:val="24"/>
        </w:rPr>
        <w:t>Key Findings: Revenue Band Analysis</w:t>
      </w:r>
    </w:p>
    <w:p w14:paraId="1B111217" w14:textId="77777777" w:rsidR="008D012F" w:rsidRDefault="00B21A1C" w:rsidP="008D012F">
      <w:pPr>
        <w:rPr>
          <w:b/>
          <w:bCs/>
        </w:rPr>
      </w:pPr>
      <w:r w:rsidRPr="004A2BBC">
        <w:rPr>
          <w:b/>
          <w:bCs/>
          <w:noProof/>
          <w:color w:val="156082" w:themeColor="accent1"/>
          <w:sz w:val="24"/>
          <w:szCs w:val="24"/>
        </w:rPr>
        <w:drawing>
          <wp:inline distT="0" distB="0" distL="0" distR="0" wp14:anchorId="20096B04" wp14:editId="072944B8">
            <wp:extent cx="5731510" cy="2578188"/>
            <wp:effectExtent l="0" t="0" r="2540" b="0"/>
            <wp:docPr id="446300611" name="Picture 1"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00611" name="Picture 1" descr="A graph with a line going up&#10;&#10;Description automatically generated"/>
                    <pic:cNvPicPr/>
                  </pic:nvPicPr>
                  <pic:blipFill>
                    <a:blip r:embed="rId8"/>
                    <a:stretch>
                      <a:fillRect/>
                    </a:stretch>
                  </pic:blipFill>
                  <pic:spPr>
                    <a:xfrm>
                      <a:off x="0" y="0"/>
                      <a:ext cx="5731510" cy="2578188"/>
                    </a:xfrm>
                    <a:prstGeom prst="rect">
                      <a:avLst/>
                    </a:prstGeom>
                  </pic:spPr>
                </pic:pic>
              </a:graphicData>
            </a:graphic>
          </wp:inline>
        </w:drawing>
      </w:r>
    </w:p>
    <w:p w14:paraId="0AC5D160" w14:textId="011E9F15" w:rsidR="004A64A8" w:rsidRPr="004A64A8" w:rsidRDefault="004A64A8" w:rsidP="00FA1299">
      <w:pPr>
        <w:pStyle w:val="ListParagraph"/>
        <w:numPr>
          <w:ilvl w:val="0"/>
          <w:numId w:val="8"/>
        </w:numPr>
      </w:pPr>
      <w:r w:rsidRPr="004A64A8">
        <w:t xml:space="preserve">Lower revenue </w:t>
      </w:r>
      <w:proofErr w:type="spellStart"/>
      <w:r w:rsidRPr="004A64A8">
        <w:t>bands</w:t>
      </w:r>
      <w:proofErr w:type="spellEnd"/>
      <w:r w:rsidRPr="004A64A8">
        <w:t xml:space="preserve"> (</w:t>
      </w:r>
      <w:r>
        <w:t>R$</w:t>
      </w:r>
      <w:r w:rsidRPr="004A64A8">
        <w:t>0</w:t>
      </w:r>
      <w:r w:rsidR="00845A78">
        <w:t>-</w:t>
      </w:r>
      <w:r>
        <w:t>R$</w:t>
      </w:r>
      <w:r w:rsidRPr="004A64A8">
        <w:t>200) contain a large proportion of the catalogue but contribute little revenue. For example:</w:t>
      </w:r>
    </w:p>
    <w:p w14:paraId="61FE0286" w14:textId="666B3582" w:rsidR="004A64A8" w:rsidRDefault="004A64A8" w:rsidP="00B21A1C">
      <w:pPr>
        <w:numPr>
          <w:ilvl w:val="0"/>
          <w:numId w:val="9"/>
        </w:numPr>
        <w:spacing w:after="0"/>
      </w:pPr>
      <w:r>
        <w:t>R$</w:t>
      </w:r>
      <w:r w:rsidRPr="004A64A8">
        <w:t>10</w:t>
      </w:r>
      <w:r w:rsidR="00845A78">
        <w:t>-</w:t>
      </w:r>
      <w:r>
        <w:t>R$</w:t>
      </w:r>
      <w:r w:rsidRPr="004A64A8">
        <w:t>50: 6,510 products, 2% of total revenue</w:t>
      </w:r>
    </w:p>
    <w:p w14:paraId="15E384F7" w14:textId="5F537961" w:rsidR="005F0B91" w:rsidRDefault="005F0B91" w:rsidP="005F0B91">
      <w:pPr>
        <w:numPr>
          <w:ilvl w:val="0"/>
          <w:numId w:val="9"/>
        </w:numPr>
        <w:spacing w:after="0"/>
      </w:pPr>
      <w:r>
        <w:t>R$</w:t>
      </w:r>
      <w:r w:rsidR="008D012F">
        <w:t>50</w:t>
      </w:r>
      <w:r w:rsidR="00845A78">
        <w:t>-</w:t>
      </w:r>
      <w:r>
        <w:t>R$</w:t>
      </w:r>
      <w:r w:rsidR="008D012F">
        <w:t>200</w:t>
      </w:r>
      <w:r w:rsidRPr="004A64A8">
        <w:t xml:space="preserve">: </w:t>
      </w:r>
      <w:r>
        <w:t>14,029</w:t>
      </w:r>
      <w:r w:rsidRPr="004A64A8">
        <w:t xml:space="preserve"> products, </w:t>
      </w:r>
      <w:r>
        <w:t>1</w:t>
      </w:r>
      <w:r w:rsidRPr="004A64A8">
        <w:t>2% of total revenue</w:t>
      </w:r>
    </w:p>
    <w:p w14:paraId="2D1E4253" w14:textId="77777777" w:rsidR="00B21A1C" w:rsidRDefault="00B21A1C" w:rsidP="00B21A1C">
      <w:pPr>
        <w:spacing w:after="0"/>
      </w:pPr>
    </w:p>
    <w:p w14:paraId="4FB6E954" w14:textId="7DD6F64A" w:rsidR="00B21A1C" w:rsidRPr="004A64A8" w:rsidRDefault="00B21A1C" w:rsidP="00B21A1C">
      <w:pPr>
        <w:ind w:left="720"/>
      </w:pPr>
      <w:r w:rsidRPr="00453EE9">
        <w:t xml:space="preserve">This confirms that catalogue </w:t>
      </w:r>
      <w:r w:rsidRPr="00B21A1C">
        <w:t>depth drives operational complexity more than commercial value.</w:t>
      </w:r>
    </w:p>
    <w:p w14:paraId="68B3C6CA" w14:textId="5233CDB8" w:rsidR="004A64A8" w:rsidRPr="004A64A8" w:rsidRDefault="004A64A8" w:rsidP="00B21A1C">
      <w:pPr>
        <w:pStyle w:val="ListParagraph"/>
        <w:numPr>
          <w:ilvl w:val="0"/>
          <w:numId w:val="11"/>
        </w:numPr>
      </w:pPr>
      <w:r w:rsidRPr="004A64A8">
        <w:t xml:space="preserve">In contrast, products generating over </w:t>
      </w:r>
      <w:r w:rsidRPr="00B21A1C">
        <w:t>R$</w:t>
      </w:r>
      <w:r w:rsidRPr="004A64A8">
        <w:t>1,000 in lifetime revenue account for over 55% of total revenue, despite representing a minority of SKUs:</w:t>
      </w:r>
    </w:p>
    <w:p w14:paraId="53DE13BD" w14:textId="47F7E1E2" w:rsidR="004A64A8" w:rsidRPr="004A64A8" w:rsidRDefault="004A64A8" w:rsidP="00FA1299">
      <w:pPr>
        <w:numPr>
          <w:ilvl w:val="0"/>
          <w:numId w:val="9"/>
        </w:numPr>
        <w:spacing w:after="0"/>
      </w:pPr>
      <w:r>
        <w:t>R$</w:t>
      </w:r>
      <w:r w:rsidRPr="004A64A8">
        <w:t>1k</w:t>
      </w:r>
      <w:r w:rsidR="00845A78">
        <w:t>-</w:t>
      </w:r>
      <w:r>
        <w:t>R$</w:t>
      </w:r>
      <w:r w:rsidRPr="004A64A8">
        <w:t>2.5k:</w:t>
      </w:r>
      <w:r w:rsidR="00FA1299">
        <w:t xml:space="preserve"> 1780 product,</w:t>
      </w:r>
      <w:r w:rsidRPr="004A64A8">
        <w:t xml:space="preserve"> 20%</w:t>
      </w:r>
      <w:r w:rsidR="00FA1299">
        <w:t xml:space="preserve"> </w:t>
      </w:r>
      <w:r w:rsidR="00FA1299" w:rsidRPr="004A64A8">
        <w:t>of total revenue</w:t>
      </w:r>
    </w:p>
    <w:p w14:paraId="09A82A22" w14:textId="4975313A" w:rsidR="004A64A8" w:rsidRPr="004A64A8" w:rsidRDefault="004A64A8" w:rsidP="00B21A1C">
      <w:pPr>
        <w:numPr>
          <w:ilvl w:val="0"/>
          <w:numId w:val="12"/>
        </w:numPr>
        <w:spacing w:after="0"/>
      </w:pPr>
      <w:r>
        <w:t>R$</w:t>
      </w:r>
      <w:r w:rsidRPr="004A64A8">
        <w:t>2.5k</w:t>
      </w:r>
      <w:r w:rsidR="00845A78">
        <w:t>-</w:t>
      </w:r>
      <w:r>
        <w:t>R$</w:t>
      </w:r>
      <w:r w:rsidRPr="004A64A8">
        <w:t xml:space="preserve">5k: </w:t>
      </w:r>
      <w:r w:rsidR="00FA1299">
        <w:t>499</w:t>
      </w:r>
      <w:r w:rsidR="00FA1299">
        <w:t xml:space="preserve"> product,</w:t>
      </w:r>
      <w:r w:rsidR="00FA1299" w:rsidRPr="004A64A8">
        <w:t xml:space="preserve"> </w:t>
      </w:r>
      <w:r w:rsidR="00FA1299">
        <w:t>13</w:t>
      </w:r>
      <w:r w:rsidR="00FA1299" w:rsidRPr="004A64A8">
        <w:t>%</w:t>
      </w:r>
      <w:r w:rsidR="00FA1299">
        <w:t xml:space="preserve"> </w:t>
      </w:r>
      <w:r w:rsidR="00FA1299" w:rsidRPr="004A64A8">
        <w:t>of total revenue</w:t>
      </w:r>
    </w:p>
    <w:p w14:paraId="1365001E" w14:textId="652B1D43" w:rsidR="004A64A8" w:rsidRPr="004A64A8" w:rsidRDefault="004A64A8" w:rsidP="00B21A1C">
      <w:pPr>
        <w:numPr>
          <w:ilvl w:val="0"/>
          <w:numId w:val="12"/>
        </w:numPr>
        <w:spacing w:after="0"/>
      </w:pPr>
      <w:r>
        <w:t>R$</w:t>
      </w:r>
      <w:r w:rsidRPr="004A64A8">
        <w:t>5k</w:t>
      </w:r>
      <w:r w:rsidR="00845A78">
        <w:t>-</w:t>
      </w:r>
      <w:r>
        <w:t>R$</w:t>
      </w:r>
      <w:r w:rsidRPr="004A64A8">
        <w:t xml:space="preserve">10k: </w:t>
      </w:r>
      <w:r w:rsidR="00FA1299">
        <w:t>211</w:t>
      </w:r>
      <w:r w:rsidR="00FA1299">
        <w:t xml:space="preserve"> product,</w:t>
      </w:r>
      <w:r w:rsidR="00FA1299" w:rsidRPr="004A64A8">
        <w:t xml:space="preserve"> </w:t>
      </w:r>
      <w:r w:rsidR="00FA1299">
        <w:t>11</w:t>
      </w:r>
      <w:r w:rsidR="00FA1299" w:rsidRPr="004A64A8">
        <w:t>%</w:t>
      </w:r>
      <w:r w:rsidR="00FA1299">
        <w:t xml:space="preserve"> </w:t>
      </w:r>
      <w:r w:rsidR="00FA1299" w:rsidRPr="004A64A8">
        <w:t>of total revenue</w:t>
      </w:r>
    </w:p>
    <w:p w14:paraId="3BC20DA2" w14:textId="77777777" w:rsidR="008D012F" w:rsidRDefault="004A64A8" w:rsidP="008D012F">
      <w:pPr>
        <w:numPr>
          <w:ilvl w:val="0"/>
          <w:numId w:val="12"/>
        </w:numPr>
        <w:spacing w:after="0"/>
      </w:pPr>
      <w:r>
        <w:t>R$</w:t>
      </w:r>
      <w:r w:rsidRPr="004A64A8">
        <w:t xml:space="preserve">10k+: </w:t>
      </w:r>
      <w:r w:rsidR="00FA1299">
        <w:t xml:space="preserve">92 </w:t>
      </w:r>
      <w:r w:rsidR="00FA1299">
        <w:t>product,</w:t>
      </w:r>
      <w:r w:rsidR="00FA1299" w:rsidRPr="004A64A8">
        <w:t xml:space="preserve"> </w:t>
      </w:r>
      <w:r w:rsidR="00FA1299">
        <w:t>13</w:t>
      </w:r>
      <w:r w:rsidR="00FA1299" w:rsidRPr="004A64A8">
        <w:t>%</w:t>
      </w:r>
      <w:r w:rsidR="00FA1299">
        <w:t xml:space="preserve"> </w:t>
      </w:r>
      <w:r w:rsidR="00FA1299" w:rsidRPr="004A64A8">
        <w:t>of total revenue</w:t>
      </w:r>
    </w:p>
    <w:p w14:paraId="2429E0F3" w14:textId="77777777" w:rsidR="008D012F" w:rsidRDefault="008D012F" w:rsidP="008D012F">
      <w:pPr>
        <w:spacing w:after="0"/>
      </w:pPr>
    </w:p>
    <w:p w14:paraId="05C4605C" w14:textId="43D791D3" w:rsidR="00A35399" w:rsidRDefault="004A64A8" w:rsidP="00A35399">
      <w:pPr>
        <w:pStyle w:val="ListParagraph"/>
        <w:numPr>
          <w:ilvl w:val="0"/>
          <w:numId w:val="11"/>
        </w:numPr>
      </w:pPr>
      <w:r w:rsidRPr="004A64A8">
        <w:t>Mid-range bands (</w:t>
      </w:r>
      <w:r>
        <w:t>R$</w:t>
      </w:r>
      <w:r w:rsidRPr="004A64A8">
        <w:t>50</w:t>
      </w:r>
      <w:r w:rsidR="00845A78">
        <w:t>-</w:t>
      </w:r>
      <w:r>
        <w:t>R$</w:t>
      </w:r>
      <w:r w:rsidRPr="004A64A8">
        <w:t>500) contain the highest volume of products</w:t>
      </w:r>
      <w:r w:rsidR="00FA1299">
        <w:t xml:space="preserve"> </w:t>
      </w:r>
      <w:r w:rsidR="00FA1299" w:rsidRPr="00903525">
        <w:t xml:space="preserve">(over 20,000 combined) </w:t>
      </w:r>
      <w:r w:rsidRPr="004A64A8">
        <w:t>and contribute aro</w:t>
      </w:r>
      <w:r w:rsidRPr="004E779A">
        <w:t>und 28% of</w:t>
      </w:r>
      <w:r w:rsidRPr="004A64A8">
        <w:t xml:space="preserve"> total revenue, indicating significant scale but modest efficiency</w:t>
      </w:r>
      <w:r w:rsidR="008D012F">
        <w:t xml:space="preserve">. </w:t>
      </w:r>
    </w:p>
    <w:p w14:paraId="2422CBA3" w14:textId="4F0173CD" w:rsidR="004A64A8" w:rsidRDefault="00EB392D" w:rsidP="00A35399">
      <w:pPr>
        <w:pStyle w:val="ListParagraph"/>
        <w:numPr>
          <w:ilvl w:val="0"/>
          <w:numId w:val="11"/>
        </w:numPr>
      </w:pPr>
      <w:r>
        <w:t>C</w:t>
      </w:r>
      <w:r w:rsidR="004A64A8" w:rsidRPr="004A64A8">
        <w:t>ommercial impact is driven less by identifying individual top products and more by increasing the share of products that move into higher revenue bands.</w:t>
      </w:r>
    </w:p>
    <w:p w14:paraId="619B9BE5" w14:textId="77777777" w:rsidR="00466C60" w:rsidRPr="002F0CA3" w:rsidRDefault="00466C60" w:rsidP="00A35399">
      <w:pPr>
        <w:spacing w:after="0"/>
        <w:ind w:left="720"/>
      </w:pPr>
      <w:r w:rsidRPr="002F0CA3">
        <w:t>Examples of stronger levers include:</w:t>
      </w:r>
    </w:p>
    <w:p w14:paraId="29B89D53" w14:textId="77777777" w:rsidR="00466C60" w:rsidRPr="002F0CA3" w:rsidRDefault="00466C60" w:rsidP="00A35399">
      <w:pPr>
        <w:numPr>
          <w:ilvl w:val="0"/>
          <w:numId w:val="18"/>
        </w:numPr>
        <w:tabs>
          <w:tab w:val="clear" w:pos="1080"/>
        </w:tabs>
        <w:spacing w:after="0"/>
      </w:pPr>
      <w:r w:rsidRPr="002F0CA3">
        <w:t>Improving discoverability of mid-performing products</w:t>
      </w:r>
    </w:p>
    <w:p w14:paraId="2A7839AB" w14:textId="77777777" w:rsidR="00466C60" w:rsidRPr="002F0CA3" w:rsidRDefault="00466C60" w:rsidP="00A35399">
      <w:pPr>
        <w:numPr>
          <w:ilvl w:val="0"/>
          <w:numId w:val="18"/>
        </w:numPr>
        <w:tabs>
          <w:tab w:val="clear" w:pos="1080"/>
        </w:tabs>
        <w:spacing w:after="0"/>
      </w:pPr>
      <w:r w:rsidRPr="002F0CA3">
        <w:t>Supporting sellers whose products are already approaching higher bands</w:t>
      </w:r>
    </w:p>
    <w:p w14:paraId="0779AAD7" w14:textId="2BBA1D8D" w:rsidR="00466C60" w:rsidRPr="004A64A8" w:rsidRDefault="00466C60" w:rsidP="00A35399">
      <w:pPr>
        <w:numPr>
          <w:ilvl w:val="0"/>
          <w:numId w:val="18"/>
        </w:numPr>
        <w:spacing w:after="0"/>
      </w:pPr>
      <w:r w:rsidRPr="002F0CA3">
        <w:t>Removing friction that prevents products from scaling beyond low revenue tiers</w:t>
      </w:r>
    </w:p>
    <w:p w14:paraId="65EAF03F" w14:textId="21C71331" w:rsidR="004A64A8" w:rsidRDefault="004A64A8" w:rsidP="004A64A8"/>
    <w:p w14:paraId="181C8B09" w14:textId="77777777" w:rsidR="004A22B1" w:rsidRDefault="004A22B1" w:rsidP="004A64A8"/>
    <w:p w14:paraId="3B2AEF06" w14:textId="77777777" w:rsidR="004A22B1" w:rsidRPr="004A64A8" w:rsidRDefault="004A22B1" w:rsidP="004A64A8"/>
    <w:p w14:paraId="010F9E65" w14:textId="77777777" w:rsidR="004A64A8" w:rsidRPr="004A22B1" w:rsidRDefault="004A64A8" w:rsidP="004A64A8">
      <w:pPr>
        <w:rPr>
          <w:b/>
          <w:bCs/>
          <w:color w:val="156082" w:themeColor="accent1"/>
          <w:sz w:val="24"/>
          <w:szCs w:val="24"/>
        </w:rPr>
      </w:pPr>
      <w:r w:rsidRPr="004A64A8">
        <w:rPr>
          <w:b/>
          <w:bCs/>
          <w:color w:val="156082" w:themeColor="accent1"/>
          <w:sz w:val="24"/>
          <w:szCs w:val="24"/>
        </w:rPr>
        <w:lastRenderedPageBreak/>
        <w:t>Key Findings: Category-Level Performance</w:t>
      </w:r>
    </w:p>
    <w:p w14:paraId="1AB8B90E" w14:textId="3BA01891" w:rsidR="004A22B1" w:rsidRPr="004A64A8" w:rsidRDefault="004A22B1" w:rsidP="004A64A8">
      <w:pPr>
        <w:rPr>
          <w:b/>
          <w:bCs/>
        </w:rPr>
      </w:pPr>
      <w:r w:rsidRPr="00225208">
        <w:rPr>
          <w:b/>
          <w:bCs/>
          <w:noProof/>
          <w:color w:val="156082" w:themeColor="accent1"/>
          <w:sz w:val="24"/>
          <w:szCs w:val="24"/>
        </w:rPr>
        <w:drawing>
          <wp:inline distT="0" distB="0" distL="0" distR="0" wp14:anchorId="07DB3B49" wp14:editId="593CE618">
            <wp:extent cx="5731510" cy="2832100"/>
            <wp:effectExtent l="0" t="0" r="2540" b="6350"/>
            <wp:docPr id="1999721018"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21018" name="Picture 1" descr="A graph with different colored bars&#10;&#10;Description automatically generated"/>
                    <pic:cNvPicPr/>
                  </pic:nvPicPr>
                  <pic:blipFill>
                    <a:blip r:embed="rId9"/>
                    <a:stretch>
                      <a:fillRect/>
                    </a:stretch>
                  </pic:blipFill>
                  <pic:spPr>
                    <a:xfrm>
                      <a:off x="0" y="0"/>
                      <a:ext cx="5731510" cy="2832100"/>
                    </a:xfrm>
                    <a:prstGeom prst="rect">
                      <a:avLst/>
                    </a:prstGeom>
                  </pic:spPr>
                </pic:pic>
              </a:graphicData>
            </a:graphic>
          </wp:inline>
        </w:drawing>
      </w:r>
    </w:p>
    <w:p w14:paraId="4F3C45AF" w14:textId="77777777" w:rsidR="004A64A8" w:rsidRPr="004A64A8" w:rsidRDefault="004A64A8" w:rsidP="004A64A8">
      <w:r w:rsidRPr="004A64A8">
        <w:t>Revenue is materially concentrated at category level. The top five categories account for over 40% of total revenue:</w:t>
      </w:r>
    </w:p>
    <w:p w14:paraId="564A1EDE" w14:textId="2C906E04" w:rsidR="004A64A8" w:rsidRPr="004A64A8" w:rsidRDefault="004A64A8" w:rsidP="00C21AEB">
      <w:pPr>
        <w:numPr>
          <w:ilvl w:val="0"/>
          <w:numId w:val="4"/>
        </w:numPr>
        <w:spacing w:after="0"/>
      </w:pPr>
      <w:r w:rsidRPr="004A64A8">
        <w:t xml:space="preserve">Health &amp; Beauty </w:t>
      </w:r>
      <w:r w:rsidR="00845A78">
        <w:t>-</w:t>
      </w:r>
      <w:r w:rsidRPr="004A64A8">
        <w:t xml:space="preserve"> 9.39%</w:t>
      </w:r>
    </w:p>
    <w:p w14:paraId="748F1D36" w14:textId="1E4D380F" w:rsidR="004A64A8" w:rsidRPr="004A64A8" w:rsidRDefault="004A64A8" w:rsidP="00C21AEB">
      <w:pPr>
        <w:numPr>
          <w:ilvl w:val="0"/>
          <w:numId w:val="4"/>
        </w:numPr>
        <w:spacing w:after="0"/>
      </w:pPr>
      <w:r w:rsidRPr="004A64A8">
        <w:t xml:space="preserve">Watches &amp; Gifts </w:t>
      </w:r>
      <w:r w:rsidR="00845A78">
        <w:t>-</w:t>
      </w:r>
      <w:r w:rsidRPr="004A64A8">
        <w:t xml:space="preserve"> 8.99%</w:t>
      </w:r>
    </w:p>
    <w:p w14:paraId="31609668" w14:textId="3EF5DB94" w:rsidR="004A64A8" w:rsidRPr="004A64A8" w:rsidRDefault="004A64A8" w:rsidP="00C21AEB">
      <w:pPr>
        <w:numPr>
          <w:ilvl w:val="0"/>
          <w:numId w:val="4"/>
        </w:numPr>
        <w:spacing w:after="0"/>
      </w:pPr>
      <w:r w:rsidRPr="004A64A8">
        <w:t xml:space="preserve">Bed, Bath &amp; Table </w:t>
      </w:r>
      <w:r w:rsidR="00845A78">
        <w:t>-</w:t>
      </w:r>
      <w:r w:rsidRPr="004A64A8">
        <w:t xml:space="preserve"> 7.73%</w:t>
      </w:r>
    </w:p>
    <w:p w14:paraId="6176DBEF" w14:textId="7E27266E" w:rsidR="004A64A8" w:rsidRPr="004A64A8" w:rsidRDefault="004A64A8" w:rsidP="00C21AEB">
      <w:pPr>
        <w:numPr>
          <w:ilvl w:val="0"/>
          <w:numId w:val="4"/>
        </w:numPr>
        <w:spacing w:after="0"/>
      </w:pPr>
      <w:r w:rsidRPr="004A64A8">
        <w:t xml:space="preserve">Sports &amp; Leisure </w:t>
      </w:r>
      <w:r w:rsidR="00845A78">
        <w:t>-</w:t>
      </w:r>
      <w:r w:rsidRPr="004A64A8">
        <w:t xml:space="preserve"> 7.37%</w:t>
      </w:r>
    </w:p>
    <w:p w14:paraId="483791BB" w14:textId="105EBC8B" w:rsidR="00C21AEB" w:rsidRDefault="004A64A8" w:rsidP="004A64A8">
      <w:pPr>
        <w:numPr>
          <w:ilvl w:val="0"/>
          <w:numId w:val="4"/>
        </w:numPr>
        <w:spacing w:after="0"/>
      </w:pPr>
      <w:r w:rsidRPr="004A64A8">
        <w:t xml:space="preserve">Computers &amp; Accessories </w:t>
      </w:r>
      <w:r w:rsidR="00845A78">
        <w:t>-</w:t>
      </w:r>
      <w:r w:rsidRPr="004A64A8">
        <w:t xml:space="preserve"> 6.80%</w:t>
      </w:r>
    </w:p>
    <w:p w14:paraId="0329E002" w14:textId="77777777" w:rsidR="00826636" w:rsidRDefault="00826636" w:rsidP="00826636">
      <w:pPr>
        <w:spacing w:after="0"/>
        <w:ind w:left="720"/>
      </w:pPr>
    </w:p>
    <w:p w14:paraId="5B20BB6C" w14:textId="4BD725AD" w:rsidR="004A64A8" w:rsidRPr="004A64A8" w:rsidRDefault="004A64A8" w:rsidP="004A64A8">
      <w:r w:rsidRPr="004A64A8">
        <w:t>Beyond the top 10</w:t>
      </w:r>
      <w:r w:rsidR="00845A78">
        <w:t>-</w:t>
      </w:r>
      <w:r w:rsidRPr="004A64A8">
        <w:t xml:space="preserve">15 categories, revenue contribution drops sharply, with many </w:t>
      </w:r>
      <w:r w:rsidR="00597B89">
        <w:t xml:space="preserve">of the remaining  56-61 </w:t>
      </w:r>
      <w:r w:rsidRPr="004A64A8">
        <w:t>categories contributing less than 1%. This indicates a broad catalogue with uneven value distribution.</w:t>
      </w:r>
      <w:r w:rsidR="00120189">
        <w:t xml:space="preserve"> Therefore, c</w:t>
      </w:r>
      <w:r w:rsidRPr="004A64A8">
        <w:t>ategory selection and prioritisation are stronger commercial levers than individual SKU optimisation.</w:t>
      </w:r>
    </w:p>
    <w:p w14:paraId="11C3075D" w14:textId="77777777" w:rsidR="004A64A8" w:rsidRPr="004A64A8" w:rsidRDefault="004A64A8" w:rsidP="004A64A8">
      <w:pPr>
        <w:rPr>
          <w:b/>
          <w:bCs/>
          <w:color w:val="156082" w:themeColor="accent1"/>
          <w:sz w:val="24"/>
          <w:szCs w:val="24"/>
        </w:rPr>
      </w:pPr>
      <w:r w:rsidRPr="004A64A8">
        <w:rPr>
          <w:b/>
          <w:bCs/>
          <w:color w:val="156082" w:themeColor="accent1"/>
          <w:sz w:val="24"/>
          <w:szCs w:val="24"/>
        </w:rPr>
        <w:t>Business Implications and Recommendations</w:t>
      </w:r>
    </w:p>
    <w:p w14:paraId="01FE2832" w14:textId="5C158779" w:rsidR="004A64A8" w:rsidRDefault="004A64A8" w:rsidP="004A64A8">
      <w:pPr>
        <w:numPr>
          <w:ilvl w:val="0"/>
          <w:numId w:val="5"/>
        </w:numPr>
      </w:pPr>
      <w:r w:rsidRPr="004A64A8">
        <w:rPr>
          <w:b/>
          <w:bCs/>
        </w:rPr>
        <w:t>Prioritise high-performing categories</w:t>
      </w:r>
      <w:r w:rsidRPr="004A64A8">
        <w:br/>
        <w:t xml:space="preserve">Focus investment, </w:t>
      </w:r>
      <w:r w:rsidR="00711ECC">
        <w:t>marketing</w:t>
      </w:r>
      <w:r w:rsidRPr="004A64A8">
        <w:t>, and operational support on core revenue-driving categories to maximise return on effort.</w:t>
      </w:r>
    </w:p>
    <w:p w14:paraId="5AA8C825" w14:textId="77777777" w:rsidR="00EC7773" w:rsidRPr="00EC7773" w:rsidRDefault="00EC7773" w:rsidP="00EC7773">
      <w:pPr>
        <w:spacing w:after="0"/>
        <w:ind w:left="720"/>
      </w:pPr>
      <w:r w:rsidRPr="00EC7773">
        <w:t>Examples include:</w:t>
      </w:r>
    </w:p>
    <w:p w14:paraId="5B005C9D" w14:textId="77777777" w:rsidR="00823012" w:rsidRDefault="00823012" w:rsidP="00823012">
      <w:pPr>
        <w:pStyle w:val="ListParagraph"/>
        <w:numPr>
          <w:ilvl w:val="0"/>
          <w:numId w:val="21"/>
        </w:numPr>
      </w:pPr>
      <w:r>
        <w:t>Improving seller quality and assortment depth in top-performing categories</w:t>
      </w:r>
    </w:p>
    <w:p w14:paraId="33A56F72" w14:textId="396B5E8B" w:rsidR="00823012" w:rsidRPr="004A64A8" w:rsidRDefault="00823012" w:rsidP="00EC7773">
      <w:pPr>
        <w:pStyle w:val="ListParagraph"/>
        <w:numPr>
          <w:ilvl w:val="0"/>
          <w:numId w:val="21"/>
        </w:numPr>
      </w:pPr>
      <w:r>
        <w:t>Prioritising search, user experience, and promotional activity within core revenue-driving categories</w:t>
      </w:r>
    </w:p>
    <w:p w14:paraId="0E58BC7E" w14:textId="7E8A3CF8" w:rsidR="004A64A8" w:rsidRDefault="004A64A8" w:rsidP="004A64A8">
      <w:pPr>
        <w:numPr>
          <w:ilvl w:val="0"/>
          <w:numId w:val="5"/>
        </w:numPr>
      </w:pPr>
      <w:r w:rsidRPr="004A64A8">
        <w:rPr>
          <w:b/>
          <w:bCs/>
        </w:rPr>
        <w:t>Enable mid-tier products to scale</w:t>
      </w:r>
      <w:r w:rsidRPr="004A64A8">
        <w:br/>
        <w:t>Support products approaching higher revenue bands through improved discoverability,</w:t>
      </w:r>
      <w:r w:rsidR="00711ECC">
        <w:t xml:space="preserve"> </w:t>
      </w:r>
      <w:r w:rsidRPr="004A64A8">
        <w:t>targeted promotions</w:t>
      </w:r>
      <w:r w:rsidR="00711ECC">
        <w:t>, and seller support.</w:t>
      </w:r>
      <w:r w:rsidRPr="004A64A8">
        <w:t xml:space="preserve"> Incremental </w:t>
      </w:r>
      <w:r w:rsidR="00711ECC">
        <w:t>growth</w:t>
      </w:r>
      <w:r w:rsidRPr="004A64A8">
        <w:t xml:space="preserve"> across these products can materially increase total revenue.</w:t>
      </w:r>
    </w:p>
    <w:p w14:paraId="39EEE94E" w14:textId="77777777" w:rsidR="00EA5259" w:rsidRPr="004A64A8" w:rsidRDefault="00EA5259" w:rsidP="00EA5259">
      <w:pPr>
        <w:ind w:left="720"/>
      </w:pPr>
    </w:p>
    <w:p w14:paraId="7D43D556" w14:textId="729A17DF" w:rsidR="004A64A8" w:rsidRPr="004A64A8" w:rsidRDefault="004A64A8" w:rsidP="004A64A8">
      <w:pPr>
        <w:numPr>
          <w:ilvl w:val="0"/>
          <w:numId w:val="5"/>
        </w:numPr>
      </w:pPr>
      <w:r w:rsidRPr="004A64A8">
        <w:rPr>
          <w:b/>
          <w:bCs/>
        </w:rPr>
        <w:lastRenderedPageBreak/>
        <w:t>Rationalise low-value segments</w:t>
      </w:r>
      <w:r w:rsidRPr="004A64A8">
        <w:br/>
        <w:t>Low-revenue products and underperforming categories add operational complexity while contributing little commercially. Rationalisation</w:t>
      </w:r>
      <w:r w:rsidR="00CA6377">
        <w:t xml:space="preserve"> within these areas</w:t>
      </w:r>
      <w:r w:rsidRPr="004A64A8">
        <w:t xml:space="preserve"> can reduce cost with minimal revenue impact.</w:t>
      </w:r>
    </w:p>
    <w:p w14:paraId="2E5C317D" w14:textId="77777777" w:rsidR="004A64A8" w:rsidRDefault="004A64A8" w:rsidP="004A64A8">
      <w:pPr>
        <w:numPr>
          <w:ilvl w:val="0"/>
          <w:numId w:val="5"/>
        </w:numPr>
      </w:pPr>
      <w:r w:rsidRPr="004A64A8">
        <w:rPr>
          <w:b/>
          <w:bCs/>
        </w:rPr>
        <w:t>Focus on category- and band-level initiatives</w:t>
      </w:r>
      <w:r w:rsidRPr="004A64A8">
        <w:br/>
        <w:t>Given extreme SKU fragmentation, scalable growth is best achieved through category optimisation and performance-band uplift rather than SKU-level micro-management.</w:t>
      </w:r>
    </w:p>
    <w:p w14:paraId="21E35BF5" w14:textId="7DA4323B" w:rsidR="004A64A8" w:rsidRDefault="0018787B" w:rsidP="004A64A8">
      <w:pPr>
        <w:numPr>
          <w:ilvl w:val="0"/>
          <w:numId w:val="5"/>
        </w:numPr>
        <w:spacing w:after="0"/>
      </w:pPr>
      <w:r w:rsidRPr="008B72BF">
        <w:rPr>
          <w:b/>
          <w:bCs/>
        </w:rPr>
        <w:t>Adopt continuous, data-driven monitoring:</w:t>
      </w:r>
      <w:r w:rsidRPr="008B72BF">
        <w:t xml:space="preserve"> Track category performance, revenue band movement, and emerging high-potential products to proactively adjust strategy, allocate marketing spend effectively, and identify opportunities for growth.</w:t>
      </w:r>
    </w:p>
    <w:p w14:paraId="5E85A882" w14:textId="77777777" w:rsidR="0018787B" w:rsidRPr="004A64A8" w:rsidRDefault="0018787B" w:rsidP="0018787B">
      <w:pPr>
        <w:spacing w:after="0"/>
        <w:ind w:left="720"/>
      </w:pPr>
    </w:p>
    <w:p w14:paraId="2A4B8DC9" w14:textId="77777777" w:rsidR="004A64A8" w:rsidRPr="004A64A8" w:rsidRDefault="004A64A8" w:rsidP="004A64A8">
      <w:pPr>
        <w:rPr>
          <w:b/>
          <w:bCs/>
          <w:color w:val="156082" w:themeColor="accent1"/>
          <w:sz w:val="24"/>
          <w:szCs w:val="24"/>
        </w:rPr>
      </w:pPr>
      <w:r w:rsidRPr="004A64A8">
        <w:rPr>
          <w:b/>
          <w:bCs/>
          <w:color w:val="156082" w:themeColor="accent1"/>
          <w:sz w:val="24"/>
          <w:szCs w:val="24"/>
        </w:rPr>
        <w:t>Summary</w:t>
      </w:r>
    </w:p>
    <w:p w14:paraId="2F8B324F" w14:textId="77777777" w:rsidR="004A64A8" w:rsidRPr="004A64A8" w:rsidRDefault="004A64A8" w:rsidP="004A64A8">
      <w:r w:rsidRPr="004A64A8">
        <w:t>Revenue is fragmented at the product level but concentrated by category and performance tier. Commercial impact is maximised by reinforcing high-value categories and systematically helping mid-tier products scale into higher revenue bands, rather than attempting to optimise individual SKUs.</w:t>
      </w:r>
    </w:p>
    <w:p w14:paraId="41FF9337" w14:textId="77777777" w:rsidR="00446860" w:rsidRDefault="00446860"/>
    <w:sectPr w:rsidR="0044686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5004D6" w14:textId="77777777" w:rsidR="005930E5" w:rsidRDefault="005930E5" w:rsidP="00823012">
      <w:pPr>
        <w:spacing w:after="0" w:line="240" w:lineRule="auto"/>
      </w:pPr>
      <w:r>
        <w:separator/>
      </w:r>
    </w:p>
  </w:endnote>
  <w:endnote w:type="continuationSeparator" w:id="0">
    <w:p w14:paraId="68582B46" w14:textId="77777777" w:rsidR="005930E5" w:rsidRDefault="005930E5" w:rsidP="00823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114E08" w14:textId="77777777" w:rsidR="005930E5" w:rsidRDefault="005930E5" w:rsidP="00823012">
      <w:pPr>
        <w:spacing w:after="0" w:line="240" w:lineRule="auto"/>
      </w:pPr>
      <w:r>
        <w:separator/>
      </w:r>
    </w:p>
  </w:footnote>
  <w:footnote w:type="continuationSeparator" w:id="0">
    <w:p w14:paraId="27531A77" w14:textId="77777777" w:rsidR="005930E5" w:rsidRDefault="005930E5" w:rsidP="00823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AA5FFF"/>
    <w:multiLevelType w:val="hybridMultilevel"/>
    <w:tmpl w:val="291A3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050FAB"/>
    <w:multiLevelType w:val="multilevel"/>
    <w:tmpl w:val="7292E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3146F0"/>
    <w:multiLevelType w:val="multilevel"/>
    <w:tmpl w:val="5780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C47D3"/>
    <w:multiLevelType w:val="multilevel"/>
    <w:tmpl w:val="BE48710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709711A"/>
    <w:multiLevelType w:val="multilevel"/>
    <w:tmpl w:val="347E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34E0F"/>
    <w:multiLevelType w:val="multilevel"/>
    <w:tmpl w:val="BC00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E7C03"/>
    <w:multiLevelType w:val="multilevel"/>
    <w:tmpl w:val="F57E787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76B7971"/>
    <w:multiLevelType w:val="hybridMultilevel"/>
    <w:tmpl w:val="84CC2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902F16"/>
    <w:multiLevelType w:val="multilevel"/>
    <w:tmpl w:val="1CA6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9C5B4B"/>
    <w:multiLevelType w:val="multilevel"/>
    <w:tmpl w:val="7652B9E0"/>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445C4CDB"/>
    <w:multiLevelType w:val="multilevel"/>
    <w:tmpl w:val="48FAF2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6685571"/>
    <w:multiLevelType w:val="multilevel"/>
    <w:tmpl w:val="3A88DE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519F7A09"/>
    <w:multiLevelType w:val="multilevel"/>
    <w:tmpl w:val="0BDA2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E7928"/>
    <w:multiLevelType w:val="multilevel"/>
    <w:tmpl w:val="97CE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BB4524"/>
    <w:multiLevelType w:val="multilevel"/>
    <w:tmpl w:val="761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0E05D8"/>
    <w:multiLevelType w:val="hybridMultilevel"/>
    <w:tmpl w:val="B89A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D8217F"/>
    <w:multiLevelType w:val="multilevel"/>
    <w:tmpl w:val="347E39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65250B17"/>
    <w:multiLevelType w:val="multilevel"/>
    <w:tmpl w:val="F57E787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67A02B9A"/>
    <w:multiLevelType w:val="multilevel"/>
    <w:tmpl w:val="BE48710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9330A5E"/>
    <w:multiLevelType w:val="multilevel"/>
    <w:tmpl w:val="FB00B50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6F9B5570"/>
    <w:multiLevelType w:val="multilevel"/>
    <w:tmpl w:val="347E39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7A5F54F5"/>
    <w:multiLevelType w:val="multilevel"/>
    <w:tmpl w:val="347E39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19207865">
    <w:abstractNumId w:val="2"/>
  </w:num>
  <w:num w:numId="2" w16cid:durableId="17971295">
    <w:abstractNumId w:val="11"/>
  </w:num>
  <w:num w:numId="3" w16cid:durableId="1685548665">
    <w:abstractNumId w:val="10"/>
  </w:num>
  <w:num w:numId="4" w16cid:durableId="779108084">
    <w:abstractNumId w:val="14"/>
  </w:num>
  <w:num w:numId="5" w16cid:durableId="1914194823">
    <w:abstractNumId w:val="8"/>
  </w:num>
  <w:num w:numId="6" w16cid:durableId="1135293823">
    <w:abstractNumId w:val="0"/>
  </w:num>
  <w:num w:numId="7" w16cid:durableId="1733232185">
    <w:abstractNumId w:val="15"/>
  </w:num>
  <w:num w:numId="8" w16cid:durableId="475142886">
    <w:abstractNumId w:val="7"/>
  </w:num>
  <w:num w:numId="9" w16cid:durableId="709691254">
    <w:abstractNumId w:val="17"/>
  </w:num>
  <w:num w:numId="10" w16cid:durableId="695232566">
    <w:abstractNumId w:val="6"/>
  </w:num>
  <w:num w:numId="11" w16cid:durableId="915553439">
    <w:abstractNumId w:val="12"/>
  </w:num>
  <w:num w:numId="12" w16cid:durableId="1659722437">
    <w:abstractNumId w:val="19"/>
  </w:num>
  <w:num w:numId="13" w16cid:durableId="1281306820">
    <w:abstractNumId w:val="16"/>
  </w:num>
  <w:num w:numId="14" w16cid:durableId="1093624688">
    <w:abstractNumId w:val="21"/>
  </w:num>
  <w:num w:numId="15" w16cid:durableId="1772124117">
    <w:abstractNumId w:val="20"/>
  </w:num>
  <w:num w:numId="16" w16cid:durableId="1877424201">
    <w:abstractNumId w:val="4"/>
  </w:num>
  <w:num w:numId="17" w16cid:durableId="1549874704">
    <w:abstractNumId w:val="13"/>
  </w:num>
  <w:num w:numId="18" w16cid:durableId="273098768">
    <w:abstractNumId w:val="9"/>
  </w:num>
  <w:num w:numId="19" w16cid:durableId="1558735446">
    <w:abstractNumId w:val="5"/>
  </w:num>
  <w:num w:numId="20" w16cid:durableId="956718311">
    <w:abstractNumId w:val="3"/>
  </w:num>
  <w:num w:numId="21" w16cid:durableId="234508108">
    <w:abstractNumId w:val="18"/>
  </w:num>
  <w:num w:numId="22" w16cid:durableId="479612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4A8"/>
    <w:rsid w:val="00103314"/>
    <w:rsid w:val="00120189"/>
    <w:rsid w:val="0018787B"/>
    <w:rsid w:val="00323780"/>
    <w:rsid w:val="00446860"/>
    <w:rsid w:val="00466C60"/>
    <w:rsid w:val="004A22B1"/>
    <w:rsid w:val="004A64A8"/>
    <w:rsid w:val="004E779A"/>
    <w:rsid w:val="005930E5"/>
    <w:rsid w:val="00597B89"/>
    <w:rsid w:val="005A341D"/>
    <w:rsid w:val="005F0B91"/>
    <w:rsid w:val="00620E0E"/>
    <w:rsid w:val="00711ECC"/>
    <w:rsid w:val="00727DE4"/>
    <w:rsid w:val="00823012"/>
    <w:rsid w:val="00826636"/>
    <w:rsid w:val="00845A78"/>
    <w:rsid w:val="008510FE"/>
    <w:rsid w:val="008D012F"/>
    <w:rsid w:val="00A35399"/>
    <w:rsid w:val="00B21A1C"/>
    <w:rsid w:val="00B67C25"/>
    <w:rsid w:val="00C213C3"/>
    <w:rsid w:val="00C21AEB"/>
    <w:rsid w:val="00CA6377"/>
    <w:rsid w:val="00E3257D"/>
    <w:rsid w:val="00EA5259"/>
    <w:rsid w:val="00EB392D"/>
    <w:rsid w:val="00EC7773"/>
    <w:rsid w:val="00FA1299"/>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745B2"/>
  <w15:chartTrackingRefBased/>
  <w15:docId w15:val="{E5C8D7E5-2F86-4394-88EF-F4C58098E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4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64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4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4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64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4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4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4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4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4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64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4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4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64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4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4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4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4A8"/>
    <w:rPr>
      <w:rFonts w:eastAsiaTheme="majorEastAsia" w:cstheme="majorBidi"/>
      <w:color w:val="272727" w:themeColor="text1" w:themeTint="D8"/>
    </w:rPr>
  </w:style>
  <w:style w:type="paragraph" w:styleId="Title">
    <w:name w:val="Title"/>
    <w:basedOn w:val="Normal"/>
    <w:next w:val="Normal"/>
    <w:link w:val="TitleChar"/>
    <w:uiPriority w:val="10"/>
    <w:qFormat/>
    <w:rsid w:val="004A64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4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4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4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4A8"/>
    <w:pPr>
      <w:spacing w:before="160"/>
      <w:jc w:val="center"/>
    </w:pPr>
    <w:rPr>
      <w:i/>
      <w:iCs/>
      <w:color w:val="404040" w:themeColor="text1" w:themeTint="BF"/>
    </w:rPr>
  </w:style>
  <w:style w:type="character" w:customStyle="1" w:styleId="QuoteChar">
    <w:name w:val="Quote Char"/>
    <w:basedOn w:val="DefaultParagraphFont"/>
    <w:link w:val="Quote"/>
    <w:uiPriority w:val="29"/>
    <w:rsid w:val="004A64A8"/>
    <w:rPr>
      <w:i/>
      <w:iCs/>
      <w:color w:val="404040" w:themeColor="text1" w:themeTint="BF"/>
    </w:rPr>
  </w:style>
  <w:style w:type="paragraph" w:styleId="ListParagraph">
    <w:name w:val="List Paragraph"/>
    <w:basedOn w:val="Normal"/>
    <w:uiPriority w:val="34"/>
    <w:qFormat/>
    <w:rsid w:val="004A64A8"/>
    <w:pPr>
      <w:ind w:left="720"/>
      <w:contextualSpacing/>
    </w:pPr>
  </w:style>
  <w:style w:type="character" w:styleId="IntenseEmphasis">
    <w:name w:val="Intense Emphasis"/>
    <w:basedOn w:val="DefaultParagraphFont"/>
    <w:uiPriority w:val="21"/>
    <w:qFormat/>
    <w:rsid w:val="004A64A8"/>
    <w:rPr>
      <w:i/>
      <w:iCs/>
      <w:color w:val="0F4761" w:themeColor="accent1" w:themeShade="BF"/>
    </w:rPr>
  </w:style>
  <w:style w:type="paragraph" w:styleId="IntenseQuote">
    <w:name w:val="Intense Quote"/>
    <w:basedOn w:val="Normal"/>
    <w:next w:val="Normal"/>
    <w:link w:val="IntenseQuoteChar"/>
    <w:uiPriority w:val="30"/>
    <w:qFormat/>
    <w:rsid w:val="004A64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4A8"/>
    <w:rPr>
      <w:i/>
      <w:iCs/>
      <w:color w:val="0F4761" w:themeColor="accent1" w:themeShade="BF"/>
    </w:rPr>
  </w:style>
  <w:style w:type="character" w:styleId="IntenseReference">
    <w:name w:val="Intense Reference"/>
    <w:basedOn w:val="DefaultParagraphFont"/>
    <w:uiPriority w:val="32"/>
    <w:qFormat/>
    <w:rsid w:val="004A64A8"/>
    <w:rPr>
      <w:b/>
      <w:bCs/>
      <w:smallCaps/>
      <w:color w:val="0F4761" w:themeColor="accent1" w:themeShade="BF"/>
      <w:spacing w:val="5"/>
    </w:rPr>
  </w:style>
  <w:style w:type="paragraph" w:styleId="Header">
    <w:name w:val="header"/>
    <w:basedOn w:val="Normal"/>
    <w:link w:val="HeaderChar"/>
    <w:uiPriority w:val="99"/>
    <w:unhideWhenUsed/>
    <w:rsid w:val="00823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3012"/>
  </w:style>
  <w:style w:type="paragraph" w:styleId="Footer">
    <w:name w:val="footer"/>
    <w:basedOn w:val="Normal"/>
    <w:link w:val="FooterChar"/>
    <w:uiPriority w:val="99"/>
    <w:unhideWhenUsed/>
    <w:rsid w:val="00823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3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91972370">
      <w:bodyDiv w:val="1"/>
      <w:marLeft w:val="0"/>
      <w:marRight w:val="0"/>
      <w:marTop w:val="0"/>
      <w:marBottom w:val="0"/>
      <w:divBdr>
        <w:top w:val="none" w:sz="0" w:space="0" w:color="auto"/>
        <w:left w:val="none" w:sz="0" w:space="0" w:color="auto"/>
        <w:bottom w:val="none" w:sz="0" w:space="0" w:color="auto"/>
        <w:right w:val="none" w:sz="0" w:space="0" w:color="auto"/>
      </w:divBdr>
      <w:divsChild>
        <w:div w:id="975185347">
          <w:marLeft w:val="0"/>
          <w:marRight w:val="0"/>
          <w:marTop w:val="0"/>
          <w:marBottom w:val="0"/>
          <w:divBdr>
            <w:top w:val="none" w:sz="0" w:space="0" w:color="auto"/>
            <w:left w:val="none" w:sz="0" w:space="0" w:color="auto"/>
            <w:bottom w:val="none" w:sz="0" w:space="0" w:color="auto"/>
            <w:right w:val="none" w:sz="0" w:space="0" w:color="auto"/>
          </w:divBdr>
        </w:div>
        <w:div w:id="1588343270">
          <w:marLeft w:val="0"/>
          <w:marRight w:val="0"/>
          <w:marTop w:val="0"/>
          <w:marBottom w:val="0"/>
          <w:divBdr>
            <w:top w:val="none" w:sz="0" w:space="0" w:color="auto"/>
            <w:left w:val="none" w:sz="0" w:space="0" w:color="auto"/>
            <w:bottom w:val="none" w:sz="0" w:space="0" w:color="auto"/>
            <w:right w:val="none" w:sz="0" w:space="0" w:color="auto"/>
          </w:divBdr>
        </w:div>
        <w:div w:id="1705666851">
          <w:marLeft w:val="0"/>
          <w:marRight w:val="0"/>
          <w:marTop w:val="0"/>
          <w:marBottom w:val="0"/>
          <w:divBdr>
            <w:top w:val="none" w:sz="0" w:space="0" w:color="auto"/>
            <w:left w:val="none" w:sz="0" w:space="0" w:color="auto"/>
            <w:bottom w:val="none" w:sz="0" w:space="0" w:color="auto"/>
            <w:right w:val="none" w:sz="0" w:space="0" w:color="auto"/>
          </w:divBdr>
        </w:div>
        <w:div w:id="1093085125">
          <w:marLeft w:val="0"/>
          <w:marRight w:val="0"/>
          <w:marTop w:val="0"/>
          <w:marBottom w:val="0"/>
          <w:divBdr>
            <w:top w:val="none" w:sz="0" w:space="0" w:color="auto"/>
            <w:left w:val="none" w:sz="0" w:space="0" w:color="auto"/>
            <w:bottom w:val="none" w:sz="0" w:space="0" w:color="auto"/>
            <w:right w:val="none" w:sz="0" w:space="0" w:color="auto"/>
          </w:divBdr>
        </w:div>
        <w:div w:id="89083256">
          <w:marLeft w:val="0"/>
          <w:marRight w:val="0"/>
          <w:marTop w:val="0"/>
          <w:marBottom w:val="0"/>
          <w:divBdr>
            <w:top w:val="none" w:sz="0" w:space="0" w:color="auto"/>
            <w:left w:val="none" w:sz="0" w:space="0" w:color="auto"/>
            <w:bottom w:val="none" w:sz="0" w:space="0" w:color="auto"/>
            <w:right w:val="none" w:sz="0" w:space="0" w:color="auto"/>
          </w:divBdr>
        </w:div>
        <w:div w:id="1109620199">
          <w:marLeft w:val="0"/>
          <w:marRight w:val="0"/>
          <w:marTop w:val="0"/>
          <w:marBottom w:val="0"/>
          <w:divBdr>
            <w:top w:val="none" w:sz="0" w:space="0" w:color="auto"/>
            <w:left w:val="none" w:sz="0" w:space="0" w:color="auto"/>
            <w:bottom w:val="none" w:sz="0" w:space="0" w:color="auto"/>
            <w:right w:val="none" w:sz="0" w:space="0" w:color="auto"/>
          </w:divBdr>
        </w:div>
      </w:divsChild>
    </w:div>
    <w:div w:id="2118061040">
      <w:bodyDiv w:val="1"/>
      <w:marLeft w:val="0"/>
      <w:marRight w:val="0"/>
      <w:marTop w:val="0"/>
      <w:marBottom w:val="0"/>
      <w:divBdr>
        <w:top w:val="none" w:sz="0" w:space="0" w:color="auto"/>
        <w:left w:val="none" w:sz="0" w:space="0" w:color="auto"/>
        <w:bottom w:val="none" w:sz="0" w:space="0" w:color="auto"/>
        <w:right w:val="none" w:sz="0" w:space="0" w:color="auto"/>
      </w:divBdr>
      <w:divsChild>
        <w:div w:id="26026193">
          <w:marLeft w:val="0"/>
          <w:marRight w:val="0"/>
          <w:marTop w:val="0"/>
          <w:marBottom w:val="0"/>
          <w:divBdr>
            <w:top w:val="none" w:sz="0" w:space="0" w:color="auto"/>
            <w:left w:val="none" w:sz="0" w:space="0" w:color="auto"/>
            <w:bottom w:val="none" w:sz="0" w:space="0" w:color="auto"/>
            <w:right w:val="none" w:sz="0" w:space="0" w:color="auto"/>
          </w:divBdr>
        </w:div>
        <w:div w:id="1192918799">
          <w:marLeft w:val="0"/>
          <w:marRight w:val="0"/>
          <w:marTop w:val="0"/>
          <w:marBottom w:val="0"/>
          <w:divBdr>
            <w:top w:val="none" w:sz="0" w:space="0" w:color="auto"/>
            <w:left w:val="none" w:sz="0" w:space="0" w:color="auto"/>
            <w:bottom w:val="none" w:sz="0" w:space="0" w:color="auto"/>
            <w:right w:val="none" w:sz="0" w:space="0" w:color="auto"/>
          </w:divBdr>
        </w:div>
        <w:div w:id="333847015">
          <w:marLeft w:val="0"/>
          <w:marRight w:val="0"/>
          <w:marTop w:val="0"/>
          <w:marBottom w:val="0"/>
          <w:divBdr>
            <w:top w:val="none" w:sz="0" w:space="0" w:color="auto"/>
            <w:left w:val="none" w:sz="0" w:space="0" w:color="auto"/>
            <w:bottom w:val="none" w:sz="0" w:space="0" w:color="auto"/>
            <w:right w:val="none" w:sz="0" w:space="0" w:color="auto"/>
          </w:divBdr>
        </w:div>
        <w:div w:id="1982685744">
          <w:marLeft w:val="0"/>
          <w:marRight w:val="0"/>
          <w:marTop w:val="0"/>
          <w:marBottom w:val="0"/>
          <w:divBdr>
            <w:top w:val="none" w:sz="0" w:space="0" w:color="auto"/>
            <w:left w:val="none" w:sz="0" w:space="0" w:color="auto"/>
            <w:bottom w:val="none" w:sz="0" w:space="0" w:color="auto"/>
            <w:right w:val="none" w:sz="0" w:space="0" w:color="auto"/>
          </w:divBdr>
        </w:div>
        <w:div w:id="1325353153">
          <w:marLeft w:val="0"/>
          <w:marRight w:val="0"/>
          <w:marTop w:val="0"/>
          <w:marBottom w:val="0"/>
          <w:divBdr>
            <w:top w:val="none" w:sz="0" w:space="0" w:color="auto"/>
            <w:left w:val="none" w:sz="0" w:space="0" w:color="auto"/>
            <w:bottom w:val="none" w:sz="0" w:space="0" w:color="auto"/>
            <w:right w:val="none" w:sz="0" w:space="0" w:color="auto"/>
          </w:divBdr>
        </w:div>
        <w:div w:id="8091773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778</Words>
  <Characters>4440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Lishani Srikaran</dc:creator>
  <cp:keywords/>
  <dc:description/>
  <cp:lastModifiedBy>Lishani Srikaran</cp:lastModifiedBy>
  <cp:revision>2</cp:revision>
  <dcterms:created xsi:type="dcterms:W3CDTF">2026-01-31T16:24:00Z</dcterms:created>
  <dcterms:modified xsi:type="dcterms:W3CDTF">2026-01-31T16:24:00Z</dcterms:modified>
</cp:coreProperties>
</file>