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60.bmp" ContentType="image/x-ms-bmp"/>
  <Override PartName="/word/media/rId64.bmp" ContentType="image/x-ms-bmp"/>
  <Override PartName="/word/media/rId68.bmp" ContentType="image/x-ms-bmp"/>
  <Override PartName="/word/media/rId72.bmp" ContentType="image/x-ms-bmp"/>
  <Override PartName="/word/media/rId77.bmp" ContentType="image/x-ms-bmp"/>
  <Override PartName="/word/media/rId81.bmp" ContentType="image/x-ms-bmp"/>
  <Override PartName="/word/media/rId27.bmp" ContentType="image/x-ms-bmp"/>
  <Override PartName="/word/media/rId31.bmp" ContentType="image/x-ms-bmp"/>
  <Override PartName="/word/media/rId35.bmp" ContentType="image/x-ms-bmp"/>
  <Override PartName="/word/media/rId39.bmp" ContentType="image/x-ms-bmp"/>
  <Override PartName="/word/media/rId43.bmp" ContentType="image/x-ms-bmp"/>
  <Override PartName="/word/media/rId47.bmp" ContentType="image/x-ms-bmp"/>
  <Override PartName="/word/media/rId52.bmp" ContentType="image/x-ms-bmp"/>
  <Override PartName="/word/media/rId56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10000" cy="2540000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lab8-1.asm текст программы из листинга 8.1.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810000" cy="2540000"/>
            <wp:effectExtent b="0" l="0" r="0" t="0"/>
            <wp:docPr descr="Figure 2: Ввод текста из листинга 8.1" title="" id="28" name="Picture"/>
            <a:graphic>
              <a:graphicData uri="http://schemas.openxmlformats.org/drawingml/2006/picture">
                <pic:pic>
                  <pic:nvPicPr>
                    <pic:cNvPr descr="image/2.bmp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из листинга 8.1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3810000" cy="2540000"/>
            <wp:effectExtent b="0" l="0" r="0" t="0"/>
            <wp:docPr descr="Figure 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3810000" cy="2540000"/>
            <wp:effectExtent b="0" l="0" r="0" t="0"/>
            <wp:docPr descr="Figure 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bmp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3810000" cy="2540000"/>
            <wp:effectExtent b="0" l="0" r="0" t="0"/>
            <wp:docPr descr="Figure 5: Запуск обновл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bmp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обновленной программы</w:t>
      </w:r>
    </w:p>
    <w:bookmarkEnd w:id="0"/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3810000" cy="2540000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bmp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3810000" cy="2540000"/>
            <wp:effectExtent b="0" l="0" r="0" t="0"/>
            <wp:docPr descr="Figure 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bm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до 0 включительно.</w:t>
      </w:r>
    </w:p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из листинга 8.2.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3810000" cy="2540000"/>
            <wp:effectExtent b="0" l="0" r="0" t="0"/>
            <wp:docPr descr="Figure 8: Ввод текста программы из листинга 8.2" title="" id="53" name="Picture"/>
            <a:graphic>
              <a:graphicData uri="http://schemas.openxmlformats.org/drawingml/2006/picture">
                <pic:pic>
                  <pic:nvPicPr>
                    <pic:cNvPr descr="image/8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Ввод текста программы из листинга 8.2</w:t>
      </w:r>
    </w:p>
    <w:bookmarkEnd w:id="0"/>
    <w:p>
      <w:pPr>
        <w:pStyle w:val="BodyText"/>
      </w:pPr>
      <w:r>
        <w:t xml:space="preserve">Создаю исполняемый файл и запускаю его, указав нужные аргументы.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3810000" cy="2540000"/>
            <wp:effectExtent b="0" l="0" r="0" t="0"/>
            <wp:docPr descr="Figure 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9.bmp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t xml:space="preserve">Программа вывела 4 аргумента, так как аргумент 2 не взят в кавычки, в отличии от аргумента 3, поэтому из-за пробела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аргумент.</w:t>
      </w:r>
    </w:p>
    <w:p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~/work/archpc/lab08 и ввожу в него текст программы из листинга 8.3.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3810000" cy="2540000"/>
            <wp:effectExtent b="0" l="0" r="0" t="0"/>
            <wp:docPr descr="Figure 10: Ввод текста программы из листинга 8.3" title="" id="61" name="Picture"/>
            <a:graphic>
              <a:graphicData uri="http://schemas.openxmlformats.org/drawingml/2006/picture">
                <pic:pic>
                  <pic:nvPicPr>
                    <pic:cNvPr descr="image/10.bmp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Ввод текста программы из листинга 8.3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3810000" cy="2540000"/>
            <wp:effectExtent b="0" l="0" r="0" t="0"/>
            <wp:docPr descr="Figure 11: Запуск исполняемого файла" title="" id="65" name="Picture"/>
            <a:graphic>
              <a:graphicData uri="http://schemas.openxmlformats.org/drawingml/2006/picture">
                <pic:pic>
                  <pic:nvPicPr>
                    <pic:cNvPr descr="image/11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t xml:space="preserve">Изменяю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3810000" cy="2540000"/>
            <wp:effectExtent b="0" l="0" r="0" t="0"/>
            <wp:docPr descr="Figure 12: Изменение текста программы" title="" id="69" name="Picture"/>
            <a:graphic>
              <a:graphicData uri="http://schemas.openxmlformats.org/drawingml/2006/picture">
                <pic:pic>
                  <pic:nvPicPr>
                    <pic:cNvPr descr="image/12.bmp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3810000" cy="2540000"/>
            <wp:effectExtent b="0" l="0" r="0" t="0"/>
            <wp:docPr descr="Figure 13: 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3.bmp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Запуск исполняемого файла</w:t>
      </w:r>
    </w:p>
    <w:bookmarkEnd w:id="0"/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текст программы, которая находит сумму значений функции f(x) = 5*(2 + x) в соответствии с моим номером варианта (10) для x = x1, x2, …, xn. Значения xi передаются как аргументы.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0" w:name="fig:001"/>
      <w:r>
        <w:drawing>
          <wp:inline>
            <wp:extent cx="3810000" cy="2540000"/>
            <wp:effectExtent b="0" l="0" r="0" t="0"/>
            <wp:docPr descr="Figure 14: Текст программы" title="" id="78" name="Picture"/>
            <a:graphic>
              <a:graphicData uri="http://schemas.openxmlformats.org/drawingml/2006/picture">
                <pic:pic>
                  <pic:nvPicPr>
                    <pic:cNvPr descr="image/14.bmp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Текст программы</w:t>
      </w:r>
    </w:p>
    <w:bookmarkEnd w:id="0"/>
    <w:p>
      <w:pPr>
        <w:pStyle w:val="BodyText"/>
      </w:pPr>
      <w:r>
        <w:t xml:space="preserve">Создаю исполняемый файл и проверьте его работу на нескольких наборах x = x1, x2, …, xn.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3810000" cy="2540000"/>
            <wp:effectExtent b="0" l="0" r="0" t="0"/>
            <wp:docPr descr="Figure 15: Запуск исполняемого файла и проверка его работы" title="" id="82" name="Picture"/>
            <a:graphic>
              <a:graphicData uri="http://schemas.openxmlformats.org/drawingml/2006/picture">
                <pic:pic>
                  <pic:nvPicPr>
                    <pic:cNvPr descr="image/15.bmp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исполняемого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Текст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esi, 0</w:t>
      </w:r>
    </w:p>
    <w:p>
      <w:pPr>
        <w:pStyle w:val="BodyText"/>
      </w:pPr>
      <w:r>
        <w:t xml:space="preserve">mov edi,5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add eax,2</w:t>
      </w:r>
    </w:p>
    <w:p>
      <w:pPr>
        <w:pStyle w:val="BodyText"/>
      </w:pPr>
      <w:r>
        <w:t xml:space="preserve">mul edi</w:t>
      </w:r>
    </w:p>
    <w:p>
      <w:pPr>
        <w:pStyle w:val="BodyText"/>
      </w:pPr>
      <w:r>
        <w:t xml:space="preserve">add esi,eax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</w:p>
    <w:bookmarkEnd w:id="87"/>
    <w:bookmarkStart w:id="8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 — 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60" Target="media/rId60.bmp" /><Relationship Type="http://schemas.openxmlformats.org/officeDocument/2006/relationships/image" Id="rId64" Target="media/rId64.bmp" /><Relationship Type="http://schemas.openxmlformats.org/officeDocument/2006/relationships/image" Id="rId68" Target="media/rId68.bmp" /><Relationship Type="http://schemas.openxmlformats.org/officeDocument/2006/relationships/image" Id="rId72" Target="media/rId72.bmp" /><Relationship Type="http://schemas.openxmlformats.org/officeDocument/2006/relationships/image" Id="rId77" Target="media/rId77.bmp" /><Relationship Type="http://schemas.openxmlformats.org/officeDocument/2006/relationships/image" Id="rId81" Target="media/rId81.bmp" /><Relationship Type="http://schemas.openxmlformats.org/officeDocument/2006/relationships/image" Id="rId27" Target="media/rId27.bmp" /><Relationship Type="http://schemas.openxmlformats.org/officeDocument/2006/relationships/image" Id="rId31" Target="media/rId31.bmp" /><Relationship Type="http://schemas.openxmlformats.org/officeDocument/2006/relationships/image" Id="rId35" Target="media/rId35.bmp" /><Relationship Type="http://schemas.openxmlformats.org/officeDocument/2006/relationships/image" Id="rId39" Target="media/rId39.bmp" /><Relationship Type="http://schemas.openxmlformats.org/officeDocument/2006/relationships/image" Id="rId43" Target="media/rId43.bmp" /><Relationship Type="http://schemas.openxmlformats.org/officeDocument/2006/relationships/image" Id="rId47" Target="media/rId47.bmp" /><Relationship Type="http://schemas.openxmlformats.org/officeDocument/2006/relationships/image" Id="rId52" Target="media/rId52.bmp" /><Relationship Type="http://schemas.openxmlformats.org/officeDocument/2006/relationships/image" Id="rId56" Target="media/rId56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Постнова Елизавета Андреевна</dc:creator>
  <dc:language>ru-RU</dc:language>
  <cp:keywords/>
  <dcterms:created xsi:type="dcterms:W3CDTF">2023-11-11T14:23:28Z</dcterms:created>
  <dcterms:modified xsi:type="dcterms:W3CDTF">2023-11-11T14:23:28Z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