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55BE">
      <w:pPr>
        <w:spacing w:before="0" w:after="40" w:line="324" w:lineRule="auto"/>
        <w:jc w:val="center"/>
      </w:pPr>
      <w:bookmarkStart w:id="38" w:name="_GoBack"/>
      <w:bookmarkEnd w:id="38"/>
      <w:r>
        <w:rPr>
          <w:rFonts w:ascii="Times New Roman" w:hAnsi="Times New Roman" w:eastAsia="黑体"/>
          <w:b/>
          <w:sz w:val="44"/>
        </w:rPr>
        <w:t>元祖2026中秋营销活动效果复盘</w:t>
      </w:r>
    </w:p>
    <w:p w14:paraId="7779B0D6">
      <w:pPr>
        <w:spacing w:before="0" w:after="16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项目作者：李思语 ｜ 日期：2026-09-30 ｜ 数据口径：脱敏示例数据（示意）</w:t>
      </w:r>
    </w:p>
    <w:p w14:paraId="687E43AC">
      <w:pPr>
        <w:spacing w:before="0" w:after="0" w:line="324" w:lineRule="auto"/>
      </w:pPr>
    </w:p>
    <w:p w14:paraId="5D6EB2A7">
      <w:pPr>
        <w:spacing w:before="40" w:after="200" w:line="324" w:lineRule="auto"/>
        <w:jc w:val="center"/>
      </w:pPr>
      <w:r>
        <w:rPr>
          <w:rFonts w:ascii="Times New Roman" w:hAnsi="Times New Roman" w:eastAsia="宋体"/>
          <w:b/>
          <w:sz w:val="22"/>
        </w:rPr>
        <w:t>【数据脱敏声明】本案例为能力展示作品：文中全部经营数字均为脱敏示意值，非任何公司真实数据，不代表真实经营情况。</w:t>
      </w:r>
    </w:p>
    <w:p w14:paraId="1C70D402">
      <w:pPr>
        <w:spacing w:before="120" w:after="120" w:line="324" w:lineRule="auto"/>
        <w:jc w:val="center"/>
      </w:pPr>
      <w:r>
        <w:rPr>
          <w:rFonts w:ascii="Times New Roman" w:hAnsi="Times New Roman" w:eastAsia="黑体"/>
          <w:b/>
          <w:sz w:val="30"/>
        </w:rPr>
        <w:t>目录</w:t>
      </w:r>
    </w:p>
    <w:p w14:paraId="38950F11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_Toc14516 </w:instrText>
      </w:r>
      <w:r>
        <w:fldChar w:fldCharType="separate"/>
      </w:r>
      <w:r>
        <w:t>一、项目概述</w:t>
      </w:r>
      <w:r>
        <w:tab/>
      </w:r>
      <w:r>
        <w:fldChar w:fldCharType="begin"/>
      </w:r>
      <w:r>
        <w:instrText xml:space="preserve"> PAGEREF _Toc14516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CA56F55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_Toc31713 </w:instrText>
      </w:r>
      <w:r>
        <w:fldChar w:fldCharType="separate"/>
      </w:r>
      <w:r>
        <w:t>1.1 项目背景</w:t>
      </w:r>
      <w:r>
        <w:tab/>
      </w:r>
      <w:r>
        <w:fldChar w:fldCharType="begin"/>
      </w:r>
      <w:r>
        <w:instrText xml:space="preserve"> PAGEREF _Toc31713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FF934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_Toc28603 </w:instrText>
      </w:r>
      <w:r>
        <w:fldChar w:fldCharType="separate"/>
      </w:r>
      <w:r>
        <w:t>1.2 项目目标</w:t>
      </w:r>
      <w:r>
        <w:tab/>
      </w:r>
      <w:r>
        <w:fldChar w:fldCharType="begin"/>
      </w:r>
      <w:r>
        <w:instrText xml:space="preserve"> PAGEREF _Toc28603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2712F4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_Toc11518 </w:instrText>
      </w:r>
      <w:r>
        <w:fldChar w:fldCharType="separate"/>
      </w:r>
      <w:r>
        <w:t>1.3 方法论</w:t>
      </w:r>
      <w:r>
        <w:tab/>
      </w:r>
      <w:r>
        <w:fldChar w:fldCharType="begin"/>
      </w:r>
      <w:r>
        <w:instrText xml:space="preserve"> PAGEREF _Toc11518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D97FE5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_Toc30704 </w:instrText>
      </w:r>
      <w:r>
        <w:fldChar w:fldCharType="separate"/>
      </w:r>
      <w:r>
        <w:t>二、数据复盘</w:t>
      </w:r>
      <w:r>
        <w:tab/>
      </w:r>
      <w:r>
        <w:fldChar w:fldCharType="begin"/>
      </w:r>
      <w:r>
        <w:instrText xml:space="preserve"> PAGEREF _Toc30704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7A41CEB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_Toc26458 </w:instrText>
      </w:r>
      <w:r>
        <w:fldChar w:fldCharType="separate"/>
      </w:r>
      <w:r>
        <w:t>2.1 整体结果：未达成，缺口超8千万</w:t>
      </w:r>
      <w:r>
        <w:tab/>
      </w:r>
      <w:r>
        <w:fldChar w:fldCharType="begin"/>
      </w:r>
      <w:r>
        <w:instrText xml:space="preserve"> PAGEREF _Toc26458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B615A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_Toc24337 </w:instrText>
      </w:r>
      <w:r>
        <w:fldChar w:fldCharType="separate"/>
      </w:r>
      <w:r>
        <w:t>2.2 渠道表现：严重分化</w:t>
      </w:r>
      <w:r>
        <w:tab/>
      </w:r>
      <w:r>
        <w:fldChar w:fldCharType="begin"/>
      </w:r>
      <w:r>
        <w:instrText xml:space="preserve"> PAGEREF _Toc24337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DC380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_Toc16888 </w:instrText>
      </w:r>
      <w:r>
        <w:fldChar w:fldCharType="separate"/>
      </w:r>
      <w:r>
        <w:t>2.3 增长渠道：做对了什么</w:t>
      </w:r>
      <w:r>
        <w:tab/>
      </w:r>
      <w:r>
        <w:fldChar w:fldCharType="begin"/>
      </w:r>
      <w:r>
        <w:instrText xml:space="preserve"> PAGEREF _Toc16888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28428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_Toc10061 </w:instrText>
      </w:r>
      <w:r>
        <w:fldChar w:fldCharType="separate"/>
      </w:r>
      <w:r>
        <w:t>2.4 失血渠道：根因归因</w:t>
      </w:r>
      <w:r>
        <w:tab/>
      </w:r>
      <w:r>
        <w:fldChar w:fldCharType="begin"/>
      </w:r>
      <w:r>
        <w:instrText xml:space="preserve"> PAGEREF _Toc10061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3FF32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_Toc18597 </w:instrText>
      </w:r>
      <w:r>
        <w:fldChar w:fldCharType="separate"/>
      </w:r>
      <w:r>
        <w:t>2.5 节奏复盘：蓄水期普遍失守，冲刺期补量</w:t>
      </w:r>
      <w:r>
        <w:tab/>
      </w:r>
      <w:r>
        <w:fldChar w:fldCharType="begin"/>
      </w:r>
      <w:r>
        <w:instrText xml:space="preserve"> PAGEREF _Toc18597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20A424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_Toc15942 </w:instrText>
      </w:r>
      <w:r>
        <w:fldChar w:fldCharType="separate"/>
      </w:r>
      <w:r>
        <w:t>2.6 结构性问题（复盘之外的产品机会）</w:t>
      </w:r>
      <w:r>
        <w:tab/>
      </w:r>
      <w:r>
        <w:fldChar w:fldCharType="begin"/>
      </w:r>
      <w:r>
        <w:instrText xml:space="preserve"> PAGEREF _Toc15942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3239BF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_Toc10072 </w:instrText>
      </w:r>
      <w:r>
        <w:fldChar w:fldCharType="separate"/>
      </w:r>
      <w:r>
        <w:t>三、用户需求分析</w:t>
      </w:r>
      <w:r>
        <w:tab/>
      </w:r>
      <w:r>
        <w:fldChar w:fldCharType="begin"/>
      </w:r>
      <w:r>
        <w:instrText xml:space="preserve"> PAGEREF _Toc10072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ADB735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_Toc18803 </w:instrText>
      </w:r>
      <w:r>
        <w:fldChar w:fldCharType="separate"/>
      </w:r>
      <w:r>
        <w:t>3.1 内部用户画像</w:t>
      </w:r>
      <w:r>
        <w:tab/>
      </w:r>
      <w:r>
        <w:fldChar w:fldCharType="begin"/>
      </w:r>
      <w:r>
        <w:instrText xml:space="preserve"> PAGEREF _Toc18803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D922EC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_Toc22944 </w:instrText>
      </w:r>
      <w:r>
        <w:fldChar w:fldCharType="separate"/>
      </w:r>
      <w:r>
        <w:t>3.2 用户需求与痛点</w:t>
      </w:r>
      <w:r>
        <w:tab/>
      </w:r>
      <w:r>
        <w:fldChar w:fldCharType="begin"/>
      </w:r>
      <w:r>
        <w:instrText xml:space="preserve"> PAGEREF _Toc22944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E16436C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_Toc23120 </w:instrText>
      </w:r>
      <w:r>
        <w:fldChar w:fldCharType="separate"/>
      </w:r>
      <w:r>
        <w:t>3.3 需求结论</w:t>
      </w:r>
      <w:r>
        <w:tab/>
      </w:r>
      <w:r>
        <w:fldChar w:fldCharType="begin"/>
      </w:r>
      <w:r>
        <w:instrText xml:space="preserve"> PAGEREF _Toc23120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F1BDF98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_Toc18056 </w:instrText>
      </w:r>
      <w:r>
        <w:fldChar w:fldCharType="separate"/>
      </w:r>
      <w:r>
        <w:t>四、可行性建议（可落地）</w:t>
      </w:r>
      <w:r>
        <w:tab/>
      </w:r>
      <w:r>
        <w:fldChar w:fldCharType="begin"/>
      </w:r>
      <w:r>
        <w:instrText xml:space="preserve"> PAGEREF _Toc18056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84CCB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_Toc28983 </w:instrText>
      </w:r>
      <w:r>
        <w:fldChar w:fldCharType="separate"/>
      </w:r>
      <w:r>
        <w:t>4.1 失血渠道修复</w:t>
      </w:r>
      <w:r>
        <w:tab/>
      </w:r>
      <w:r>
        <w:fldChar w:fldCharType="begin"/>
      </w:r>
      <w:r>
        <w:instrText xml:space="preserve"> PAGEREF _Toc28983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600F09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_Toc13463 </w:instrText>
      </w:r>
      <w:r>
        <w:fldChar w:fldCharType="separate"/>
      </w:r>
      <w:r>
        <w:t>4.2 增长渠道放大</w:t>
      </w:r>
      <w:r>
        <w:tab/>
      </w:r>
      <w:r>
        <w:fldChar w:fldCharType="begin"/>
      </w:r>
      <w:r>
        <w:instrText xml:space="preserve"> PAGEREF _Toc13463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69377D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_Toc11227 </w:instrText>
      </w:r>
      <w:r>
        <w:fldChar w:fldCharType="separate"/>
      </w:r>
      <w:r>
        <w:t>4.3 结构性问题（产品化承接）</w:t>
      </w:r>
      <w:r>
        <w:tab/>
      </w:r>
      <w:r>
        <w:fldChar w:fldCharType="begin"/>
      </w:r>
      <w:r>
        <w:instrText xml:space="preserve"> PAGEREF _Toc11227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50B596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_Toc7896 </w:instrText>
      </w:r>
      <w:r>
        <w:fldChar w:fldCharType="separate"/>
      </w:r>
      <w:r>
        <w:t>五、产品落地方案：大促活动数据作战看板</w:t>
      </w:r>
      <w:r>
        <w:tab/>
      </w:r>
      <w:r>
        <w:fldChar w:fldCharType="begin"/>
      </w:r>
      <w:r>
        <w:instrText xml:space="preserve"> PAGEREF _Toc7896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39E63B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_Toc9398 </w:instrText>
      </w:r>
      <w:r>
        <w:fldChar w:fldCharType="separate"/>
      </w:r>
      <w:r>
        <w:t>5.1 产品定位</w:t>
      </w:r>
      <w:r>
        <w:tab/>
      </w:r>
      <w:r>
        <w:fldChar w:fldCharType="begin"/>
      </w:r>
      <w:r>
        <w:instrText xml:space="preserve"> PAGEREF _Toc9398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45530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_Toc31498 </w:instrText>
      </w:r>
      <w:r>
        <w:fldChar w:fldCharType="separate"/>
      </w:r>
      <w:r>
        <w:t>5.2 要解决的三个问题</w:t>
      </w:r>
      <w:r>
        <w:tab/>
      </w:r>
      <w:r>
        <w:fldChar w:fldCharType="begin"/>
      </w:r>
      <w:r>
        <w:instrText xml:space="preserve"> PAGEREF _Toc31498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4B060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_Toc29429 </w:instrText>
      </w:r>
      <w:r>
        <w:fldChar w:fldCharType="separate"/>
      </w:r>
      <w:r>
        <w:t>5.3 功能总览（与现状对比）</w:t>
      </w:r>
      <w:r>
        <w:tab/>
      </w:r>
      <w:r>
        <w:fldChar w:fldCharType="begin"/>
      </w:r>
      <w:r>
        <w:instrText xml:space="preserve"> PAGEREF _Toc29429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08BEBB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_Toc17001 </w:instrText>
      </w:r>
      <w:r>
        <w:fldChar w:fldCharType="separate"/>
      </w:r>
      <w:r>
        <w:t>六、PRD（产品需求文档）</w:t>
      </w:r>
      <w:r>
        <w:tab/>
      </w:r>
      <w:r>
        <w:fldChar w:fldCharType="begin"/>
      </w:r>
      <w:r>
        <w:instrText xml:space="preserve"> PAGEREF _Toc17001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2DB90D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_Toc30368 </w:instrText>
      </w:r>
      <w:r>
        <w:fldChar w:fldCharType="separate"/>
      </w:r>
      <w:r>
        <w:t>6.1 需求背景与目标</w:t>
      </w:r>
      <w:r>
        <w:tab/>
      </w:r>
      <w:r>
        <w:fldChar w:fldCharType="begin"/>
      </w:r>
      <w:r>
        <w:instrText xml:space="preserve"> PAGEREF _Toc30368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68C888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_Toc22961 </w:instrText>
      </w:r>
      <w:r>
        <w:fldChar w:fldCharType="separate"/>
      </w:r>
      <w:r>
        <w:t>6.2 用户与使用场景</w:t>
      </w:r>
      <w:r>
        <w:tab/>
      </w:r>
      <w:r>
        <w:fldChar w:fldCharType="begin"/>
      </w:r>
      <w:r>
        <w:instrText xml:space="preserve"> PAGEREF _Toc22961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DAA2B9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_Toc15115 </w:instrText>
      </w:r>
      <w:r>
        <w:fldChar w:fldCharType="separate"/>
      </w:r>
      <w:r>
        <w:t>6.3 功能需求明细</w:t>
      </w:r>
      <w:r>
        <w:tab/>
      </w:r>
      <w:r>
        <w:fldChar w:fldCharType="begin"/>
      </w:r>
      <w:r>
        <w:instrText xml:space="preserve"> PAGEREF _Toc15115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272D51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_Toc6731 </w:instrText>
      </w:r>
      <w:r>
        <w:fldChar w:fldCharType="separate"/>
      </w:r>
      <w:r>
        <w:t>6.4 指标体系与口径（统一口径表）</w:t>
      </w:r>
      <w:r>
        <w:tab/>
      </w:r>
      <w:r>
        <w:fldChar w:fldCharType="begin"/>
      </w:r>
      <w:r>
        <w:instrText xml:space="preserve"> PAGEREF _Toc6731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3B94675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_Toc18903 </w:instrText>
      </w:r>
      <w:r>
        <w:fldChar w:fldCharType="separate"/>
      </w:r>
      <w:r>
        <w:t>6.5 非功能需求</w:t>
      </w:r>
      <w:r>
        <w:tab/>
      </w:r>
      <w:r>
        <w:fldChar w:fldCharType="begin"/>
      </w:r>
      <w:r>
        <w:instrText xml:space="preserve"> PAGEREF _Toc18903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52E97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_Toc3518 </w:instrText>
      </w:r>
      <w:r>
        <w:fldChar w:fldCharType="separate"/>
      </w:r>
      <w:r>
        <w:t>6.6 验收标准</w:t>
      </w:r>
      <w:r>
        <w:tab/>
      </w:r>
      <w:r>
        <w:fldChar w:fldCharType="begin"/>
      </w:r>
      <w:r>
        <w:instrText xml:space="preserve"> PAGEREF _Toc3518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252E2F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_Toc23316 </w:instrText>
      </w:r>
      <w:r>
        <w:fldChar w:fldCharType="separate"/>
      </w:r>
      <w:r>
        <w:t>6.7 迭代规划</w:t>
      </w:r>
      <w:r>
        <w:tab/>
      </w:r>
      <w:r>
        <w:fldChar w:fldCharType="begin"/>
      </w:r>
      <w:r>
        <w:instrText xml:space="preserve"> PAGEREF _Toc23316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8C410E7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_Toc13794 </w:instrText>
      </w:r>
      <w:r>
        <w:fldChar w:fldCharType="separate"/>
      </w:r>
      <w:r>
        <w:t>七、Figma 原型设计指引</w:t>
      </w:r>
      <w:r>
        <w:tab/>
      </w:r>
      <w:r>
        <w:fldChar w:fldCharType="begin"/>
      </w:r>
      <w:r>
        <w:instrText xml:space="preserve"> PAGEREF _Toc13794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F4D6FD7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_Toc29497 </w:instrText>
      </w:r>
      <w:r>
        <w:fldChar w:fldCharType="separate"/>
      </w:r>
      <w:r>
        <w:t>7.1 信息架构</w:t>
      </w:r>
      <w:r>
        <w:tab/>
      </w:r>
      <w:r>
        <w:fldChar w:fldCharType="begin"/>
      </w:r>
      <w:r>
        <w:instrText xml:space="preserve"> PAGEREF _Toc29497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B4F891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_Toc20322 </w:instrText>
      </w:r>
      <w:r>
        <w:fldChar w:fldCharType="separate"/>
      </w:r>
      <w:r>
        <w:t>7.2 页面与核心组件</w:t>
      </w:r>
      <w:r>
        <w:tab/>
      </w:r>
      <w:r>
        <w:fldChar w:fldCharType="begin"/>
      </w:r>
      <w:r>
        <w:instrText xml:space="preserve"> PAGEREF _Toc20322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674FE77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_Toc17932 </w:instrText>
      </w:r>
      <w:r>
        <w:fldChar w:fldCharType="separate"/>
      </w:r>
      <w:r>
        <w:t>7.3 设计规范</w:t>
      </w:r>
      <w:r>
        <w:tab/>
      </w:r>
      <w:r>
        <w:fldChar w:fldCharType="begin"/>
      </w:r>
      <w:r>
        <w:instrText xml:space="preserve"> PAGEREF _Toc17932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51A07C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_Toc10638 </w:instrText>
      </w:r>
      <w:r>
        <w:fldChar w:fldCharType="separate"/>
      </w:r>
      <w:r>
        <w:t>7.4 原型设计步骤（跟着做）</w:t>
      </w:r>
      <w:r>
        <w:tab/>
      </w:r>
      <w:r>
        <w:fldChar w:fldCharType="begin"/>
      </w:r>
      <w:r>
        <w:instrText xml:space="preserve"> PAGEREF _Toc10638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65648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_Toc11705 </w:instrText>
      </w:r>
      <w:r>
        <w:fldChar w:fldCharType="separate"/>
      </w:r>
      <w:r>
        <w:t>7.5 关键设计要点</w:t>
      </w:r>
      <w:r>
        <w:tab/>
      </w:r>
      <w:r>
        <w:fldChar w:fldCharType="begin"/>
      </w:r>
      <w:r>
        <w:instrText xml:space="preserve"> PAGEREF _Toc11705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EE526B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_Toc17810 </w:instrText>
      </w:r>
      <w:r>
        <w:fldChar w:fldCharType="separate"/>
      </w:r>
      <w:r>
        <w:t>7.6 看板线框示意图（Figma 风格）</w:t>
      </w:r>
      <w:r>
        <w:tab/>
      </w:r>
      <w:r>
        <w:fldChar w:fldCharType="begin"/>
      </w:r>
      <w:r>
        <w:instrText xml:space="preserve"> PAGEREF _Toc17810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677116D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_Toc16292 </w:instrText>
      </w:r>
      <w:r>
        <w:fldChar w:fldCharType="separate"/>
      </w:r>
      <w:r>
        <w:t>八、附录：数据口径与来源</w:t>
      </w:r>
      <w:r>
        <w:tab/>
      </w:r>
      <w:r>
        <w:fldChar w:fldCharType="begin"/>
      </w:r>
      <w:r>
        <w:instrText xml:space="preserve"> PAGEREF _Toc16292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1A7809E">
      <w:r>
        <w:fldChar w:fldCharType="end"/>
      </w:r>
    </w:p>
    <w:p w14:paraId="79F2E1BD">
      <w:r>
        <w:br w:type="page"/>
      </w:r>
    </w:p>
    <w:p w14:paraId="7F7659CD">
      <w:pPr>
        <w:pStyle w:val="3"/>
      </w:pPr>
      <w:bookmarkStart w:id="0" w:name="_Toc14516"/>
      <w:r>
        <w:t>一、项目概述</w:t>
      </w:r>
      <w:bookmarkEnd w:id="0"/>
    </w:p>
    <w:p w14:paraId="12C69845">
      <w:pPr>
        <w:pStyle w:val="4"/>
      </w:pPr>
      <w:bookmarkStart w:id="1" w:name="_Toc31713"/>
      <w:r>
        <w:t>1.1 项目背景</w:t>
      </w:r>
      <w:bookmarkEnd w:id="1"/>
    </w:p>
    <w:p w14:paraId="47D6C0E7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2026年中秋节大促刚结束。</w:t>
      </w:r>
      <w:r>
        <w:rPr>
          <w:rFonts w:hint="eastAsia"/>
          <w:b w:val="0"/>
          <w:sz w:val="22"/>
          <w:lang w:val="en-US" w:eastAsia="zh-CN"/>
        </w:rPr>
        <w:t>元祖以月饼出名，自然看重这次中秋节活动，</w:t>
      </w:r>
      <w:r>
        <w:rPr>
          <w:rFonts w:ascii="Times New Roman" w:hAnsi="Times New Roman" w:eastAsia="宋体"/>
          <w:b w:val="0"/>
          <w:sz w:val="22"/>
        </w:rPr>
        <w:t>电商部需要一次完整的营销活动效果复盘：还原62天(7.26–9.29)大促各渠道的实际达成，找出增长与失血的真实原因，为下一年的中秋乃至所有节令大促沉淀可复用的策略与工具。</w:t>
      </w:r>
    </w:p>
    <w:p w14:paraId="435EDB57">
      <w:pPr>
        <w:pStyle w:val="4"/>
      </w:pPr>
      <w:bookmarkStart w:id="2" w:name="_Toc28603"/>
      <w:r>
        <w:t>1.2 项目目标</w:t>
      </w:r>
      <w:bookmarkEnd w:id="2"/>
    </w:p>
    <w:p w14:paraId="15DEF9F0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用脱敏数据还原62天中秋大促的整体与分渠道得失，定位增长渠道与失血渠道。</w:t>
      </w:r>
    </w:p>
    <w:p w14:paraId="1BDE1102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从「内部用户」视角分析需求（电商部运营、渠道负责人、管理层），识别他们在大促决策与复盘中的真实痛点。</w:t>
      </w:r>
    </w:p>
    <w:p w14:paraId="68656FC6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基于复盘提出可落地的渠道与运营建议。</w:t>
      </w:r>
    </w:p>
    <w:p w14:paraId="288972D0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把「复盘能力」产品化为一套可复用的「大促活动数据作战看板」，输出完整 PRD 与原型设计指引。</w:t>
      </w:r>
    </w:p>
    <w:p w14:paraId="344C3CEA">
      <w:pPr>
        <w:pStyle w:val="3"/>
      </w:pPr>
      <w:bookmarkStart w:id="3" w:name="_Toc30704"/>
      <w:r>
        <w:t>二、数据复盘</w:t>
      </w:r>
      <w:bookmarkEnd w:id="3"/>
    </w:p>
    <w:p w14:paraId="34B940EE">
      <w:pPr>
        <w:pStyle w:val="4"/>
      </w:pPr>
      <w:bookmarkStart w:id="4" w:name="_Toc26458"/>
      <w:r>
        <w:t>2.1 整体结果：未达成，缺口超8千万</w:t>
      </w:r>
      <w:bookmarkEnd w:id="4"/>
    </w:p>
    <w:p w14:paraId="3B499907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中秋62天整体GMV 46,400万元，同比去年同期的49,000万元下降5.3%；对照累计目标55,000万元，达成率仅84.4%，缺口8,600万元。整体大促未达既定目标。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0C4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A481CA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6466DB1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2025年同期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0A0147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2026年实际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C07DB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同比/达成</w:t>
            </w:r>
          </w:p>
        </w:tc>
      </w:tr>
      <w:tr w14:paraId="68FF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EF9F69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62天GMV(万元)</w:t>
            </w:r>
          </w:p>
        </w:tc>
        <w:tc>
          <w:tcPr>
            <w:tcW w:w="1928" w:type="dxa"/>
            <w:vAlign w:val="center"/>
          </w:tcPr>
          <w:p w14:paraId="526C06A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49,000</w:t>
            </w:r>
          </w:p>
        </w:tc>
        <w:tc>
          <w:tcPr>
            <w:tcW w:w="1928" w:type="dxa"/>
            <w:vAlign w:val="center"/>
          </w:tcPr>
          <w:p w14:paraId="35855BB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46,400</w:t>
            </w:r>
          </w:p>
        </w:tc>
        <w:tc>
          <w:tcPr>
            <w:tcW w:w="2268" w:type="dxa"/>
            <w:vAlign w:val="center"/>
          </w:tcPr>
          <w:p w14:paraId="222FBCB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同比 -5.3%</w:t>
            </w:r>
          </w:p>
        </w:tc>
      </w:tr>
      <w:tr w14:paraId="24FC7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2866FC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累计目标(万元)</w:t>
            </w:r>
          </w:p>
        </w:tc>
        <w:tc>
          <w:tcPr>
            <w:tcW w:w="1928" w:type="dxa"/>
            <w:vAlign w:val="center"/>
          </w:tcPr>
          <w:p w14:paraId="47A1AAA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w="1928" w:type="dxa"/>
            <w:vAlign w:val="center"/>
          </w:tcPr>
          <w:p w14:paraId="711D198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55,000</w:t>
            </w:r>
          </w:p>
        </w:tc>
        <w:tc>
          <w:tcPr>
            <w:tcW w:w="2268" w:type="dxa"/>
            <w:vAlign w:val="center"/>
          </w:tcPr>
          <w:p w14:paraId="265CBBA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 w14:paraId="0148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A2682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达成率 / 缺口(万元)</w:t>
            </w:r>
          </w:p>
        </w:tc>
        <w:tc>
          <w:tcPr>
            <w:tcW w:w="1928" w:type="dxa"/>
            <w:vAlign w:val="center"/>
          </w:tcPr>
          <w:p w14:paraId="6EE2950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w="1928" w:type="dxa"/>
            <w:vAlign w:val="center"/>
          </w:tcPr>
          <w:p w14:paraId="1D59D91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84.4%</w:t>
            </w:r>
          </w:p>
        </w:tc>
        <w:tc>
          <w:tcPr>
            <w:tcW w:w="2268" w:type="dxa"/>
            <w:vAlign w:val="center"/>
          </w:tcPr>
          <w:p w14:paraId="335EC66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缺口 8,600</w:t>
            </w:r>
          </w:p>
        </w:tc>
      </w:tr>
    </w:tbl>
    <w:p w14:paraId="5EFBFCA0">
      <w:pPr>
        <w:spacing w:before="0" w:after="40" w:line="324" w:lineRule="auto"/>
      </w:pPr>
    </w:p>
    <w:p w14:paraId="6B4914F6">
      <w:pPr>
        <w:pStyle w:val="4"/>
      </w:pPr>
      <w:bookmarkStart w:id="5" w:name="_Toc24337"/>
      <w:r>
        <w:t>2.2 渠道表现：严重分化</w:t>
      </w:r>
      <w:bookmarkEnd w:id="5"/>
    </w:p>
    <w:p w14:paraId="280F0AA9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四大渠道呈明显两极分化：抖音大幅超目标，货架电商小幅增长；而体量最大的小程序(私域)和即时零售双双下滑，是整体失血的主因。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 w14:paraId="4EA5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259024E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渠道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349E19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25年同期(万)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26AD24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26年实际(万)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A335D9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同比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40077AF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累计目标(万)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66B4A0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达成率</w:t>
            </w:r>
          </w:p>
        </w:tc>
      </w:tr>
      <w:tr w14:paraId="1194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70059E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小程序(私域)</w:t>
            </w:r>
          </w:p>
        </w:tc>
        <w:tc>
          <w:tcPr>
            <w:tcW w:w="1474" w:type="dxa"/>
            <w:vAlign w:val="center"/>
          </w:tcPr>
          <w:p w14:paraId="46A8303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25,000</w:t>
            </w:r>
          </w:p>
        </w:tc>
        <w:tc>
          <w:tcPr>
            <w:tcW w:w="1474" w:type="dxa"/>
            <w:vAlign w:val="center"/>
          </w:tcPr>
          <w:p w14:paraId="7743189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20,600</w:t>
            </w:r>
          </w:p>
        </w:tc>
        <w:tc>
          <w:tcPr>
            <w:tcW w:w="1134" w:type="dxa"/>
            <w:vAlign w:val="center"/>
          </w:tcPr>
          <w:p w14:paraId="25BE72B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-17.6%</w:t>
            </w:r>
          </w:p>
        </w:tc>
        <w:tc>
          <w:tcPr>
            <w:tcW w:w="1474" w:type="dxa"/>
            <w:vAlign w:val="center"/>
          </w:tcPr>
          <w:p w14:paraId="4EE3FEE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27,500</w:t>
            </w:r>
          </w:p>
        </w:tc>
        <w:tc>
          <w:tcPr>
            <w:tcW w:w="1134" w:type="dxa"/>
            <w:vAlign w:val="center"/>
          </w:tcPr>
          <w:p w14:paraId="5BBE509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74.9%</w:t>
            </w:r>
          </w:p>
        </w:tc>
      </w:tr>
      <w:tr w14:paraId="194B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E720C1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即时零售</w:t>
            </w:r>
          </w:p>
        </w:tc>
        <w:tc>
          <w:tcPr>
            <w:tcW w:w="1474" w:type="dxa"/>
            <w:vAlign w:val="center"/>
          </w:tcPr>
          <w:p w14:paraId="7ED31BC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9,500</w:t>
            </w:r>
          </w:p>
        </w:tc>
        <w:tc>
          <w:tcPr>
            <w:tcW w:w="1474" w:type="dxa"/>
            <w:vAlign w:val="center"/>
          </w:tcPr>
          <w:p w14:paraId="39A51E2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8,900</w:t>
            </w:r>
          </w:p>
        </w:tc>
        <w:tc>
          <w:tcPr>
            <w:tcW w:w="1134" w:type="dxa"/>
            <w:vAlign w:val="center"/>
          </w:tcPr>
          <w:p w14:paraId="43BC407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-6.3%</w:t>
            </w:r>
          </w:p>
        </w:tc>
        <w:tc>
          <w:tcPr>
            <w:tcW w:w="1474" w:type="dxa"/>
            <w:vAlign w:val="center"/>
          </w:tcPr>
          <w:p w14:paraId="3B98C4E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10,400</w:t>
            </w:r>
          </w:p>
        </w:tc>
        <w:tc>
          <w:tcPr>
            <w:tcW w:w="1134" w:type="dxa"/>
            <w:vAlign w:val="center"/>
          </w:tcPr>
          <w:p w14:paraId="5F46C45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85.6%</w:t>
            </w:r>
          </w:p>
        </w:tc>
      </w:tr>
      <w:tr w14:paraId="0A7F6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8F4CEB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抖音</w:t>
            </w:r>
          </w:p>
        </w:tc>
        <w:tc>
          <w:tcPr>
            <w:tcW w:w="1474" w:type="dxa"/>
            <w:vAlign w:val="center"/>
          </w:tcPr>
          <w:p w14:paraId="4DB1E78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6,300</w:t>
            </w:r>
          </w:p>
        </w:tc>
        <w:tc>
          <w:tcPr>
            <w:tcW w:w="1474" w:type="dxa"/>
            <w:vAlign w:val="center"/>
          </w:tcPr>
          <w:p w14:paraId="0ACB411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8,400</w:t>
            </w:r>
          </w:p>
        </w:tc>
        <w:tc>
          <w:tcPr>
            <w:tcW w:w="1134" w:type="dxa"/>
            <w:vAlign w:val="center"/>
          </w:tcPr>
          <w:p w14:paraId="43AC53F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+33.3%</w:t>
            </w:r>
          </w:p>
        </w:tc>
        <w:tc>
          <w:tcPr>
            <w:tcW w:w="1474" w:type="dxa"/>
            <w:vAlign w:val="center"/>
          </w:tcPr>
          <w:p w14:paraId="62AB697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7,000</w:t>
            </w:r>
          </w:p>
        </w:tc>
        <w:tc>
          <w:tcPr>
            <w:tcW w:w="1134" w:type="dxa"/>
            <w:vAlign w:val="center"/>
          </w:tcPr>
          <w:p w14:paraId="39831F9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120.0%</w:t>
            </w:r>
          </w:p>
        </w:tc>
      </w:tr>
      <w:tr w14:paraId="6331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255DDB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货架电商</w:t>
            </w:r>
          </w:p>
        </w:tc>
        <w:tc>
          <w:tcPr>
            <w:tcW w:w="1474" w:type="dxa"/>
            <w:vAlign w:val="center"/>
          </w:tcPr>
          <w:p w14:paraId="2B15DC8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8,200</w:t>
            </w:r>
          </w:p>
        </w:tc>
        <w:tc>
          <w:tcPr>
            <w:tcW w:w="1474" w:type="dxa"/>
            <w:vAlign w:val="center"/>
          </w:tcPr>
          <w:p w14:paraId="601EB2B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8,500</w:t>
            </w:r>
          </w:p>
        </w:tc>
        <w:tc>
          <w:tcPr>
            <w:tcW w:w="1134" w:type="dxa"/>
            <w:vAlign w:val="center"/>
          </w:tcPr>
          <w:p w14:paraId="50CA5BF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+3.7%</w:t>
            </w:r>
          </w:p>
        </w:tc>
        <w:tc>
          <w:tcPr>
            <w:tcW w:w="1474" w:type="dxa"/>
            <w:vAlign w:val="center"/>
          </w:tcPr>
          <w:p w14:paraId="7F7F987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9,200</w:t>
            </w:r>
          </w:p>
        </w:tc>
        <w:tc>
          <w:tcPr>
            <w:tcW w:w="1134" w:type="dxa"/>
            <w:vAlign w:val="center"/>
          </w:tcPr>
          <w:p w14:paraId="4849DA0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92.4%</w:t>
            </w:r>
          </w:p>
        </w:tc>
      </w:tr>
      <w:tr w14:paraId="527C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EB365E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合计</w:t>
            </w:r>
          </w:p>
        </w:tc>
        <w:tc>
          <w:tcPr>
            <w:tcW w:w="1474" w:type="dxa"/>
            <w:vAlign w:val="center"/>
          </w:tcPr>
          <w:p w14:paraId="6B0E055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49,000</w:t>
            </w:r>
          </w:p>
        </w:tc>
        <w:tc>
          <w:tcPr>
            <w:tcW w:w="1474" w:type="dxa"/>
            <w:vAlign w:val="center"/>
          </w:tcPr>
          <w:p w14:paraId="0A0CE44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46,400</w:t>
            </w:r>
          </w:p>
        </w:tc>
        <w:tc>
          <w:tcPr>
            <w:tcW w:w="1134" w:type="dxa"/>
            <w:vAlign w:val="center"/>
          </w:tcPr>
          <w:p w14:paraId="7A3BA11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-5.3%</w:t>
            </w:r>
          </w:p>
        </w:tc>
        <w:tc>
          <w:tcPr>
            <w:tcW w:w="1474" w:type="dxa"/>
            <w:vAlign w:val="center"/>
          </w:tcPr>
          <w:p w14:paraId="0871E85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55,000</w:t>
            </w:r>
          </w:p>
        </w:tc>
        <w:tc>
          <w:tcPr>
            <w:tcW w:w="1134" w:type="dxa"/>
            <w:vAlign w:val="center"/>
          </w:tcPr>
          <w:p w14:paraId="2963ECA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84.4%</w:t>
            </w:r>
          </w:p>
        </w:tc>
      </w:tr>
    </w:tbl>
    <w:p w14:paraId="39BE147C">
      <w:pPr>
        <w:spacing w:before="0" w:after="40" w:line="324" w:lineRule="auto"/>
      </w:pPr>
    </w:p>
    <w:p w14:paraId="0BC64B5B">
      <w:r>
        <w:drawing>
          <wp:inline distT="0" distB="0" distL="114300" distR="114300">
            <wp:extent cx="5939790" cy="31769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3989">
      <w:pPr>
        <w:spacing w:before="60" w:after="120" w:line="324" w:lineRule="auto"/>
        <w:jc w:val="center"/>
      </w:pPr>
      <w:r>
        <w:rPr>
          <w:rFonts w:ascii="Times New Roman" w:hAnsi="Times New Roman" w:eastAsia="宋体"/>
          <w:b w:val="0"/>
          <w:sz w:val="18"/>
        </w:rPr>
        <w:t>图1 中秋62天GMV：四大渠道 25 vs 26 对比（数据来源：脱敏示例数据）</w:t>
      </w:r>
    </w:p>
    <w:p w14:paraId="02EACC14">
      <w:r>
        <w:drawing>
          <wp:inline distT="0" distB="0" distL="114300" distR="114300">
            <wp:extent cx="5939790" cy="317690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3CA0">
      <w:pPr>
        <w:spacing w:before="60" w:after="120" w:line="324" w:lineRule="auto"/>
        <w:jc w:val="center"/>
      </w:pPr>
      <w:r>
        <w:rPr>
          <w:rFonts w:ascii="Times New Roman" w:hAnsi="Times New Roman" w:eastAsia="宋体"/>
          <w:b w:val="0"/>
          <w:sz w:val="18"/>
        </w:rPr>
        <w:t>图2 中秋62天：各渠道GMV同比增速（数据来源：脱敏示例数据）</w:t>
      </w:r>
    </w:p>
    <w:p w14:paraId="1C1A97FB">
      <w:pPr>
        <w:pStyle w:val="4"/>
      </w:pPr>
      <w:bookmarkStart w:id="6" w:name="_Toc16888"/>
      <w:r>
        <w:t>2.3 增长渠道：做对了什么</w:t>
      </w:r>
      <w:bookmarkEnd w:id="6"/>
    </w:p>
    <w:p w14:paraId="29D2C4CE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抖音 +33.3%，超目标120.0%：承接大事件 + KOS矩阵与达人塑品 + 内容矩阵策略奏效，是本次最大亮点。</w:t>
      </w:r>
    </w:p>
    <w:p w14:paraId="663F5573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货架电商 +3.7%，达成92.4%：京东自营入仓1,500万元(+4.4%)、88/Plus会员场域活动、转化率由4.2%升至5.3%(+26.2%)。</w:t>
      </w:r>
    </w:p>
    <w:p w14:paraId="3E0529EB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美团外卖 +5.1%、网上订单 +8.9%、代销团购 +72.4%：履约能力与“最后五公里”服务体验带来的自然增长。</w:t>
      </w:r>
    </w:p>
    <w:p w14:paraId="39EAA20A">
      <w:pPr>
        <w:pStyle w:val="4"/>
      </w:pPr>
      <w:bookmarkStart w:id="7" w:name="_Toc10061"/>
      <w:r>
        <w:t>2.4 失血渠道：根因归因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A04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0F2D54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渠道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178D78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同比</w:t>
            </w:r>
          </w:p>
        </w:tc>
        <w:tc>
          <w:tcPr>
            <w:tcW w:w="5896" w:type="dxa"/>
            <w:shd w:val="clear" w:color="auto" w:fill="D9D9D9"/>
            <w:vAlign w:val="center"/>
          </w:tcPr>
          <w:p w14:paraId="08F89FB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核心根因(来自复盘与打法报)</w:t>
            </w:r>
          </w:p>
        </w:tc>
      </w:tr>
      <w:tr w14:paraId="217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113D39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小程序(私域)</w:t>
            </w:r>
          </w:p>
        </w:tc>
        <w:tc>
          <w:tcPr>
            <w:tcW w:w="1134" w:type="dxa"/>
            <w:vAlign w:val="center"/>
          </w:tcPr>
          <w:p w14:paraId="610D0BC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-17.6%</w:t>
            </w:r>
          </w:p>
        </w:tc>
        <w:tc>
          <w:tcPr>
            <w:tcW w:w="5896" w:type="dxa"/>
            <w:vAlign w:val="center"/>
          </w:tcPr>
          <w:p w14:paraId="3B7115B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会员激活不力：蓄水种草期激活会员目标仅完成31.0%；高度依赖会员复购，拉新/促活节奏滞后，未在早鸟期前置蓄水。</w:t>
            </w:r>
          </w:p>
        </w:tc>
      </w:tr>
      <w:tr w14:paraId="54FB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CC2371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淘宝闪购</w:t>
            </w:r>
          </w:p>
        </w:tc>
        <w:tc>
          <w:tcPr>
            <w:tcW w:w="1134" w:type="dxa"/>
            <w:vAlign w:val="center"/>
          </w:tcPr>
          <w:p w14:paraId="706F555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-22.0%</w:t>
            </w:r>
          </w:p>
        </w:tc>
        <w:tc>
          <w:tcPr>
            <w:tcW w:w="5896" w:type="dxa"/>
            <w:vAlign w:val="center"/>
          </w:tcPr>
          <w:p w14:paraId="5F1CEE4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付费曝光 -35.0%、投产比由9.6降至6.8(-29.2%)、自营销强度-0.6pt；大促资源盘点滞后、冲锋期热销主推品下架影响销售。</w:t>
            </w:r>
          </w:p>
        </w:tc>
      </w:tr>
      <w:tr w14:paraId="6715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95F489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即时零售</w:t>
            </w:r>
          </w:p>
        </w:tc>
        <w:tc>
          <w:tcPr>
            <w:tcW w:w="1134" w:type="dxa"/>
            <w:vAlign w:val="center"/>
          </w:tcPr>
          <w:p w14:paraId="01DAB43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-6.3%</w:t>
            </w:r>
          </w:p>
        </w:tc>
        <w:tc>
          <w:tcPr>
            <w:tcW w:w="5896" w:type="dxa"/>
            <w:vAlign w:val="center"/>
          </w:tcPr>
          <w:p w14:paraId="39435FB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蓄水期完成率仅37%；新客占比高但进店转化不足，用户承接与转化链路弱。</w:t>
            </w:r>
          </w:p>
        </w:tc>
      </w:tr>
      <w:tr w14:paraId="3999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A8212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客单价(全渠道)</w:t>
            </w:r>
          </w:p>
        </w:tc>
        <w:tc>
          <w:tcPr>
            <w:tcW w:w="1134" w:type="dxa"/>
            <w:vAlign w:val="center"/>
          </w:tcPr>
          <w:p w14:paraId="17C9169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-9.3%</w:t>
            </w:r>
          </w:p>
        </w:tc>
        <w:tc>
          <w:tcPr>
            <w:tcW w:w="5896" w:type="dxa"/>
            <w:vAlign w:val="center"/>
          </w:tcPr>
          <w:p w14:paraId="31175A2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货架电商折扣率由86%升至88%，以折扣让利换流量，客单价从388降至352元。</w:t>
            </w:r>
          </w:p>
        </w:tc>
      </w:tr>
    </w:tbl>
    <w:p w14:paraId="4B83681B">
      <w:pPr>
        <w:spacing w:before="0" w:after="40" w:line="324" w:lineRule="auto"/>
      </w:pPr>
    </w:p>
    <w:p w14:paraId="344AFC95">
      <w:pPr>
        <w:pStyle w:val="4"/>
      </w:pPr>
      <w:bookmarkStart w:id="8" w:name="_Toc18597"/>
      <w:r>
        <w:t>2.5 节奏复盘：蓄水期普遍失守，冲刺期补量</w:t>
      </w:r>
      <w:bookmarkEnd w:id="8"/>
    </w:p>
    <w:p w14:paraId="15736C4C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四阶段节奏（早鸟→种草→爆发→冲刺）显示：蓄水种草期多数渠道完成率偏低（私域激活31.0%、即时零售37%、抖音蓄水32%、货架71%），把压力积压到冲刺期（货架冲刺达成178%），导致资源集中、节奏后置、缺口发现滞后。</w:t>
      </w:r>
    </w:p>
    <w:p w14:paraId="084B03F3">
      <w:pPr>
        <w:pStyle w:val="4"/>
      </w:pPr>
      <w:bookmarkStart w:id="9" w:name="_Toc15942"/>
      <w:r>
        <w:t>2.6 结构性问题（复盘之外的产品机会）</w:t>
      </w:r>
      <w:bookmarkEnd w:id="9"/>
    </w:p>
    <w:p w14:paraId="7178617B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口径不统一：同一大促在各表存在GMV/BI业绩/出库多种口径，复盘靠多份Excel人工拼接，周期长、易错。</w:t>
      </w:r>
    </w:p>
    <w:p w14:paraId="5F725C84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预警缺失：渠道掉队（如小程序蓄水期-18%）没有实时提醒，发现时已近尾声，来不及补资源。</w:t>
      </w:r>
    </w:p>
    <w:p w14:paraId="0029AD23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价格管控：补贴终端到手价相关投诉频次高，反复剔除影响链接/店铺权重，预估损失500–700万业绩。</w:t>
      </w:r>
    </w:p>
    <w:p w14:paraId="7C874441">
      <w:pPr>
        <w:pStyle w:val="3"/>
      </w:pPr>
      <w:bookmarkStart w:id="10" w:name="_Toc10072"/>
      <w:r>
        <w:t>三、用户需求分析</w:t>
      </w:r>
      <w:bookmarkEnd w:id="10"/>
    </w:p>
    <w:p w14:paraId="0931F480">
      <w:pPr>
        <w:pStyle w:val="4"/>
      </w:pPr>
      <w:bookmarkStart w:id="11" w:name="_Toc18803"/>
      <w:r>
        <w:t>3.1 内部用户画像</w:t>
      </w:r>
      <w:bookmarkEnd w:id="11"/>
    </w:p>
    <w:p w14:paraId="5EF8DC65">
      <w:pPr>
        <w:spacing w:before="0" w:after="80" w:line="324" w:lineRule="auto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2"/>
        </w:rPr>
        <w:t>本产品与建议的核心用户不是外部消费者，而是元祖电商部的三类内部用户</w:t>
      </w:r>
      <w:r>
        <w:rPr>
          <w:rFonts w:hint="eastAsia"/>
          <w:b w:val="0"/>
          <w:sz w:val="22"/>
          <w:lang w:eastAsia="zh-CN"/>
        </w:rPr>
        <w:t>，</w:t>
      </w:r>
      <w:r>
        <w:rPr>
          <w:rFonts w:hint="eastAsia"/>
          <w:b w:val="0"/>
          <w:sz w:val="22"/>
          <w:lang w:val="en-US" w:eastAsia="zh-CN"/>
        </w:rPr>
        <w:t>从内部用户出发，提高中秋的营收。</w:t>
      </w:r>
    </w:p>
    <w:p w14:paraId="4D372364">
      <w:pPr>
        <w:pStyle w:val="4"/>
      </w:pPr>
      <w:bookmarkStart w:id="12" w:name="_Toc22944"/>
      <w:r>
        <w:t>3.2 用户需求与痛点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4BC1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1B75F3E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用户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402B758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典型场景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7D97760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核心痛点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CFEDDD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真实需求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736022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优先级</w:t>
            </w:r>
          </w:p>
        </w:tc>
      </w:tr>
      <w:tr w14:paraId="07E55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C7C928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渠道负责人(淘宝/抖音/货架/私域)</w:t>
            </w:r>
          </w:p>
        </w:tc>
        <w:tc>
          <w:tcPr>
            <w:tcW w:w="1928" w:type="dxa"/>
            <w:vAlign w:val="center"/>
          </w:tcPr>
          <w:p w14:paraId="4572E26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大促进行中需盯各渠道达成与资源投放</w:t>
            </w:r>
          </w:p>
        </w:tc>
        <w:tc>
          <w:tcPr>
            <w:tcW w:w="2041" w:type="dxa"/>
            <w:vAlign w:val="center"/>
          </w:tcPr>
          <w:p w14:paraId="538CFC7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靠Excel手工拉数、口径不一、掉队无人提醒</w:t>
            </w:r>
          </w:p>
        </w:tc>
        <w:tc>
          <w:tcPr>
            <w:tcW w:w="2268" w:type="dxa"/>
            <w:vAlign w:val="center"/>
          </w:tcPr>
          <w:p w14:paraId="4E9287D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实时看到本渠道GMV/曝光/转化/ROI，落后即预警</w:t>
            </w:r>
          </w:p>
        </w:tc>
        <w:tc>
          <w:tcPr>
            <w:tcW w:w="567" w:type="dxa"/>
            <w:vAlign w:val="center"/>
          </w:tcPr>
          <w:p w14:paraId="5D46CBD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0F0B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D44097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电商部运营/主管</w:t>
            </w:r>
          </w:p>
        </w:tc>
        <w:tc>
          <w:tcPr>
            <w:tcW w:w="1928" w:type="dxa"/>
            <w:vAlign w:val="center"/>
          </w:tcPr>
          <w:p w14:paraId="52BF4E8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调配各渠道预算与活动资源</w:t>
            </w:r>
          </w:p>
        </w:tc>
        <w:tc>
          <w:tcPr>
            <w:tcW w:w="2041" w:type="dxa"/>
            <w:vAlign w:val="center"/>
          </w:tcPr>
          <w:p w14:paraId="3D5AE49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多个渠道数据分散，无法横向对比</w:t>
            </w:r>
          </w:p>
        </w:tc>
        <w:tc>
          <w:tcPr>
            <w:tcW w:w="2268" w:type="dxa"/>
            <w:vAlign w:val="center"/>
          </w:tcPr>
          <w:p w14:paraId="192295E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统一的跨渠道对比看板，快速识别高/低效渠道</w:t>
            </w:r>
          </w:p>
        </w:tc>
        <w:tc>
          <w:tcPr>
            <w:tcW w:w="567" w:type="dxa"/>
            <w:vAlign w:val="center"/>
          </w:tcPr>
          <w:p w14:paraId="4B691FB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5816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A22F67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管理层</w:t>
            </w:r>
          </w:p>
        </w:tc>
        <w:tc>
          <w:tcPr>
            <w:tcW w:w="1928" w:type="dxa"/>
            <w:vAlign w:val="center"/>
          </w:tcPr>
          <w:p w14:paraId="4805D47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了解整体达成、风险渠道、决定是否追加资源</w:t>
            </w:r>
          </w:p>
        </w:tc>
        <w:tc>
          <w:tcPr>
            <w:tcW w:w="2041" w:type="dxa"/>
            <w:vAlign w:val="center"/>
          </w:tcPr>
          <w:p w14:paraId="24E98E5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复盘靠人整理、周期长、结论晚</w:t>
            </w:r>
          </w:p>
        </w:tc>
        <w:tc>
          <w:tcPr>
            <w:tcW w:w="2268" w:type="dxa"/>
            <w:vAlign w:val="center"/>
          </w:tcPr>
          <w:p w14:paraId="58D0068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一屏总览整体达成率/缺口/风险，支持决策</w:t>
            </w:r>
          </w:p>
        </w:tc>
        <w:tc>
          <w:tcPr>
            <w:tcW w:w="567" w:type="dxa"/>
            <w:vAlign w:val="center"/>
          </w:tcPr>
          <w:p w14:paraId="513A366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 w14:paraId="00FF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18E192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门店/供应链</w:t>
            </w:r>
          </w:p>
        </w:tc>
        <w:tc>
          <w:tcPr>
            <w:tcW w:w="1928" w:type="dxa"/>
            <w:vAlign w:val="center"/>
          </w:tcPr>
          <w:p w14:paraId="5F47D91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大促出库、库存与销售联动</w:t>
            </w:r>
          </w:p>
        </w:tc>
        <w:tc>
          <w:tcPr>
            <w:tcW w:w="2041" w:type="dxa"/>
            <w:vAlign w:val="center"/>
          </w:tcPr>
          <w:p w14:paraId="5DA44A5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出库与销售数据不同源、联动滞后</w:t>
            </w:r>
          </w:p>
        </w:tc>
        <w:tc>
          <w:tcPr>
            <w:tcW w:w="2268" w:type="dxa"/>
            <w:vAlign w:val="center"/>
          </w:tcPr>
          <w:p w14:paraId="55E8964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销售预测与库存/补货联动</w:t>
            </w:r>
          </w:p>
        </w:tc>
        <w:tc>
          <w:tcPr>
            <w:tcW w:w="567" w:type="dxa"/>
            <w:vAlign w:val="center"/>
          </w:tcPr>
          <w:p w14:paraId="648B0F7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</w:tr>
    </w:tbl>
    <w:p w14:paraId="40684EE8">
      <w:pPr>
        <w:spacing w:before="0" w:after="40" w:line="324" w:lineRule="auto"/>
      </w:pPr>
    </w:p>
    <w:p w14:paraId="30B08470">
      <w:pPr>
        <w:pStyle w:val="4"/>
      </w:pPr>
      <w:bookmarkStart w:id="13" w:name="_Toc23120"/>
      <w:r>
        <w:t>3.3 需求结论</w:t>
      </w:r>
      <w:bookmarkEnd w:id="13"/>
    </w:p>
    <w:p w14:paraId="4A580672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北极星需求：把“大促期间渠道达成/缺口的实时可视与预警”以及“复盘结论的自动沉淀”产品化，将复盘周期从“大促结束后的多日人工整理”压缩到“进行中实时可见、结束后一键出报告”。同时，内部用户普遍希望指标口径统一，避免多套Excel对不上。</w:t>
      </w:r>
    </w:p>
    <w:p w14:paraId="1719AD1E">
      <w:pPr>
        <w:pStyle w:val="3"/>
      </w:pPr>
      <w:bookmarkStart w:id="14" w:name="_Toc18056"/>
      <w:r>
        <w:t>四、可行性建议</w:t>
      </w:r>
      <w:bookmarkEnd w:id="14"/>
    </w:p>
    <w:p w14:paraId="637978A7">
      <w:pPr>
        <w:pStyle w:val="4"/>
      </w:pPr>
      <w:bookmarkStart w:id="15" w:name="_Toc28983"/>
      <w:r>
        <w:t>4.1 失血渠道修复</w:t>
      </w:r>
      <w:bookmarkEnd w:id="15"/>
    </w:p>
    <w:p w14:paraId="7D033FD0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私域：把“激活会员”设为阶段北极星之一，早鸟期即前置拉新/促活，避免集中冲刺；细化复购率目标执行。</w:t>
      </w:r>
    </w:p>
    <w:p w14:paraId="4A91984A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淘宝闪购：大促资源前置盘点；大促前联动计划与条线门店对焦热销主推品库存（避免冲锋期下架）；货盘场景化细分、差异化营销。</w:t>
      </w:r>
    </w:p>
    <w:p w14:paraId="41422B31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即时零售：提前蓄水，提升进店→下单转化，强化“一蛋糕一礼盒”场景承接。</w:t>
      </w:r>
    </w:p>
    <w:p w14:paraId="23D672EB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价格管控：规范补贴终端到手价链路，减少投诉与剔除造成的500–700万损失。</w:t>
      </w:r>
    </w:p>
    <w:p w14:paraId="4B463109">
      <w:pPr>
        <w:pStyle w:val="4"/>
      </w:pPr>
      <w:bookmarkStart w:id="16" w:name="_Toc13463"/>
      <w:r>
        <w:t>4.2 增长渠道放大</w:t>
      </w:r>
      <w:bookmarkEnd w:id="16"/>
    </w:p>
    <w:p w14:paraId="21272D82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抖音：把KOS矩阵+达人塑品+大事件承接的打法标准化，向更多节令复制。</w:t>
      </w:r>
    </w:p>
    <w:p w14:paraId="15D7E902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货架电商：京东自营入仓优化仓库分配、提高库转动销率50%+；天猫提前拍单锁声量、提升新品权重15%+。</w:t>
      </w:r>
    </w:p>
    <w:p w14:paraId="4FC52625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美团/网上订单：延续履约与服务优势，作为稳定的增长基本盘。</w:t>
      </w:r>
    </w:p>
    <w:p w14:paraId="72E0FA5F">
      <w:pPr>
        <w:pStyle w:val="4"/>
      </w:pPr>
      <w:bookmarkStart w:id="17" w:name="_Toc11227"/>
      <w:r>
        <w:t>4.3 结构性问题（产品化承接）</w:t>
      </w:r>
      <w:bookmarkEnd w:id="17"/>
    </w:p>
    <w:p w14:paraId="6592557B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上述建议大多依赖“实时、统一、可预警”的数据能力——这正是下一章产品落地方案要解决的。脱离数据产品，建议只能停留在经验层面。</w:t>
      </w:r>
    </w:p>
    <w:p w14:paraId="35549E63">
      <w:pPr>
        <w:pStyle w:val="3"/>
      </w:pPr>
      <w:bookmarkStart w:id="18" w:name="_Toc7896"/>
      <w:r>
        <w:t>五、产品落地方案：大促活动数据作战看板</w:t>
      </w:r>
      <w:bookmarkEnd w:id="18"/>
    </w:p>
    <w:p w14:paraId="7D454C81">
      <w:pPr>
        <w:pStyle w:val="4"/>
      </w:pPr>
      <w:bookmarkStart w:id="19" w:name="_Toc9398"/>
      <w:r>
        <w:t>5.1 产品定位</w:t>
      </w:r>
      <w:bookmarkEnd w:id="19"/>
    </w:p>
    <w:p w14:paraId="1EAC0AF8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面向元祖电商部的节令大促作战数据产品，覆盖“活动前设目标 → 活动中实时监控预警 → 活动后自动复盘”全周期，让运营和管理层在大促期间就能看清得失、及时纠偏。</w:t>
      </w:r>
    </w:p>
    <w:p w14:paraId="50D38DAC">
      <w:pPr>
        <w:pStyle w:val="4"/>
      </w:pPr>
      <w:bookmarkStart w:id="20" w:name="_Toc31498"/>
      <w:r>
        <w:t>5.2 要解决的三个问题</w:t>
      </w:r>
      <w:bookmarkEnd w:id="20"/>
    </w:p>
    <w:p w14:paraId="378C8445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口径统一：一套指标体系，消灭多份Excel对不上的问题。</w:t>
      </w:r>
    </w:p>
    <w:p w14:paraId="577D4580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实时预警：渠道掉队即提醒，不再等复盘时才发现。</w:t>
      </w:r>
    </w:p>
    <w:p w14:paraId="5E348DEC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自动复盘：结束后一键生成得失归因报告，沉淀方法论。</w:t>
      </w:r>
    </w:p>
    <w:p w14:paraId="3CA86B67">
      <w:pPr>
        <w:pStyle w:val="4"/>
      </w:pPr>
      <w:bookmarkStart w:id="21" w:name="_Toc29429"/>
      <w:r>
        <w:t>5.3 功能总览（与现状对比）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8AA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28CA2A0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能力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10E7D88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现状(人工Excel)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28DE50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产品化后</w:t>
            </w:r>
          </w:p>
        </w:tc>
      </w:tr>
      <w:tr w14:paraId="3512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4E00A6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整体达成</w:t>
            </w:r>
          </w:p>
        </w:tc>
        <w:tc>
          <w:tcPr>
            <w:tcW w:w="2948" w:type="dxa"/>
            <w:vAlign w:val="center"/>
          </w:tcPr>
          <w:p w14:paraId="55B747C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大促后人工拉表汇总</w:t>
            </w:r>
          </w:p>
        </w:tc>
        <w:tc>
          <w:tcPr>
            <w:tcW w:w="4195" w:type="dxa"/>
            <w:vAlign w:val="center"/>
          </w:tcPr>
          <w:p w14:paraId="7363BC7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实时一屏总览GMV/达成率/缺口/渠道分布</w:t>
            </w:r>
          </w:p>
        </w:tc>
      </w:tr>
      <w:tr w14:paraId="7D9D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D3001E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渠道监控</w:t>
            </w:r>
          </w:p>
        </w:tc>
        <w:tc>
          <w:tcPr>
            <w:tcW w:w="2948" w:type="dxa"/>
            <w:vAlign w:val="center"/>
          </w:tcPr>
          <w:p w14:paraId="330A445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各渠道分表，无法横向比</w:t>
            </w:r>
          </w:p>
        </w:tc>
        <w:tc>
          <w:tcPr>
            <w:tcW w:w="4195" w:type="dxa"/>
            <w:vAlign w:val="center"/>
          </w:tcPr>
          <w:p w14:paraId="7DC44A6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统一看板，多维下钻，按阶段对比</w:t>
            </w:r>
          </w:p>
        </w:tc>
      </w:tr>
      <w:tr w14:paraId="12771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D42462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异动预警</w:t>
            </w:r>
          </w:p>
        </w:tc>
        <w:tc>
          <w:tcPr>
            <w:tcW w:w="2948" w:type="dxa"/>
            <w:vAlign w:val="center"/>
          </w:tcPr>
          <w:p w14:paraId="130FBA5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无，掉队靠人发现</w:t>
            </w:r>
          </w:p>
        </w:tc>
        <w:tc>
          <w:tcPr>
            <w:tcW w:w="4195" w:type="dxa"/>
            <w:vAlign w:val="center"/>
          </w:tcPr>
          <w:p w14:paraId="24FCE5D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阈值规则，掉队渠道自动提醒</w:t>
            </w:r>
          </w:p>
        </w:tc>
      </w:tr>
      <w:tr w14:paraId="5D80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9920A2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复盘报告</w:t>
            </w:r>
          </w:p>
        </w:tc>
        <w:tc>
          <w:tcPr>
            <w:tcW w:w="2948" w:type="dxa"/>
            <w:vAlign w:val="center"/>
          </w:tcPr>
          <w:p w14:paraId="01EF395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手工整理，周期长</w:t>
            </w:r>
          </w:p>
        </w:tc>
        <w:tc>
          <w:tcPr>
            <w:tcW w:w="4195" w:type="dxa"/>
            <w:vAlign w:val="center"/>
          </w:tcPr>
          <w:p w14:paraId="6449BE3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一键生成得失归因+竞对对比报告</w:t>
            </w:r>
          </w:p>
        </w:tc>
      </w:tr>
      <w:tr w14:paraId="70FE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6B8EFA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价格/会员</w:t>
            </w:r>
          </w:p>
        </w:tc>
        <w:tc>
          <w:tcPr>
            <w:tcW w:w="2948" w:type="dxa"/>
            <w:vAlign w:val="center"/>
          </w:tcPr>
          <w:p w14:paraId="271C560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无统一追踪</w:t>
            </w:r>
          </w:p>
        </w:tc>
        <w:tc>
          <w:tcPr>
            <w:tcW w:w="4195" w:type="dxa"/>
            <w:vAlign w:val="center"/>
          </w:tcPr>
          <w:p w14:paraId="70AF8F7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补贴投诉、会员激活等专项追踪</w:t>
            </w:r>
          </w:p>
        </w:tc>
      </w:tr>
    </w:tbl>
    <w:p w14:paraId="32D47905">
      <w:pPr>
        <w:spacing w:before="0" w:after="40" w:line="324" w:lineRule="auto"/>
      </w:pPr>
    </w:p>
    <w:p w14:paraId="7450A5EE">
      <w:pPr>
        <w:pStyle w:val="3"/>
      </w:pPr>
      <w:bookmarkStart w:id="22" w:name="_Toc17001"/>
      <w:r>
        <w:t>六、PRD（产品需求文档）</w:t>
      </w:r>
      <w:bookmarkEnd w:id="22"/>
    </w:p>
    <w:p w14:paraId="223C2E07">
      <w:pPr>
        <w:pStyle w:val="4"/>
      </w:pPr>
      <w:bookmarkStart w:id="23" w:name="_Toc30368"/>
      <w:r>
        <w:t>6.1 需求背景与目标</w:t>
      </w:r>
      <w:bookmarkEnd w:id="23"/>
    </w:p>
    <w:p w14:paraId="7F70AA15">
      <w:pPr>
        <w:spacing w:before="0" w:after="80" w:line="324" w:lineRule="auto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2"/>
        </w:rPr>
        <w:t>背景：2026中秋大促整体达成率84.4%、缺口8,600万+，且复盘靠人工Excel、口径不一、掉队滞后。</w:t>
      </w:r>
    </w:p>
    <w:p w14:paraId="71A47312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目标：让电商部在大促期间实时掌握各渠道达成与缺口、及时预警纠偏，并把复盘结论自动沉淀。</w:t>
      </w:r>
    </w:p>
    <w:p w14:paraId="495FDBBC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北极星指标：大促期间“渠道达成/缺口”的实时可视化覆盖率达到100%；复盘报告产出周期由多日压缩至1日内。</w:t>
      </w:r>
    </w:p>
    <w:p w14:paraId="6074F7EC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次要目标：指标口径统一率100%；异动预警准确率≥90%。</w:t>
      </w:r>
    </w:p>
    <w:p w14:paraId="6BEAC2DB">
      <w:pPr>
        <w:pStyle w:val="4"/>
      </w:pPr>
      <w:bookmarkStart w:id="24" w:name="_Toc22961"/>
      <w:r>
        <w:t>6.2 用户与使用场景</w:t>
      </w:r>
      <w:bookmarkEnd w:id="24"/>
    </w:p>
    <w:p w14:paraId="734FC69B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用户：电商部运营/主管、渠道负责人、管理层、供应链。</w:t>
      </w:r>
    </w:p>
    <w:p w14:paraId="32C03A09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核心场景：早鸟/种草/爆发/冲刺四个阶段，运营每日打开看板监控各渠道达成、发现掉队渠道并追加资源。</w:t>
      </w:r>
    </w:p>
    <w:p w14:paraId="2859959C">
      <w:pPr>
        <w:pStyle w:val="4"/>
      </w:pPr>
      <w:bookmarkStart w:id="25" w:name="_Toc15115"/>
      <w:r>
        <w:t>6.3 功能需求明细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180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1BADB9D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模块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03CF0BF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功能点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19C8F2E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668BFA6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优先级</w:t>
            </w:r>
          </w:p>
        </w:tc>
      </w:tr>
      <w:tr w14:paraId="27D3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B325C0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总览页</w:t>
            </w:r>
          </w:p>
        </w:tc>
        <w:tc>
          <w:tcPr>
            <w:tcW w:w="2381" w:type="dxa"/>
            <w:vAlign w:val="center"/>
          </w:tcPr>
          <w:p w14:paraId="3D70FDE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整体GMV/达成率/缺口</w:t>
            </w:r>
          </w:p>
        </w:tc>
        <w:tc>
          <w:tcPr>
            <w:tcW w:w="4082" w:type="dxa"/>
            <w:vAlign w:val="center"/>
          </w:tcPr>
          <w:p w14:paraId="67805BA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一屏展示62天累计达成、目标、缺口、渠道分布</w:t>
            </w:r>
          </w:p>
        </w:tc>
        <w:tc>
          <w:tcPr>
            <w:tcW w:w="567" w:type="dxa"/>
            <w:vAlign w:val="center"/>
          </w:tcPr>
          <w:p w14:paraId="34C61DF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7190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7AE3A2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总览页</w:t>
            </w:r>
          </w:p>
        </w:tc>
        <w:tc>
          <w:tcPr>
            <w:tcW w:w="2381" w:type="dxa"/>
            <w:vAlign w:val="center"/>
          </w:tcPr>
          <w:p w14:paraId="32735C2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阶段进度</w:t>
            </w:r>
          </w:p>
        </w:tc>
        <w:tc>
          <w:tcPr>
            <w:tcW w:w="4082" w:type="dxa"/>
            <w:vAlign w:val="center"/>
          </w:tcPr>
          <w:p w14:paraId="1437FAF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早鸟/种草/爆发/冲刺四阶段目标 vs 实际</w:t>
            </w:r>
          </w:p>
        </w:tc>
        <w:tc>
          <w:tcPr>
            <w:tcW w:w="567" w:type="dxa"/>
            <w:vAlign w:val="center"/>
          </w:tcPr>
          <w:p w14:paraId="65EA9A4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4CCDA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A00CD2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渠道详情</w:t>
            </w:r>
          </w:p>
        </w:tc>
        <w:tc>
          <w:tcPr>
            <w:tcW w:w="2381" w:type="dxa"/>
            <w:vAlign w:val="center"/>
          </w:tcPr>
          <w:p w14:paraId="137B144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渠道指标多维下钻</w:t>
            </w:r>
          </w:p>
        </w:tc>
        <w:tc>
          <w:tcPr>
            <w:tcW w:w="4082" w:type="dxa"/>
            <w:vAlign w:val="center"/>
          </w:tcPr>
          <w:p w14:paraId="46622C4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GMV/曝光/转化/ROI/客单/会员激活，按渠道×阶段×品类下钻</w:t>
            </w:r>
          </w:p>
        </w:tc>
        <w:tc>
          <w:tcPr>
            <w:tcW w:w="567" w:type="dxa"/>
            <w:vAlign w:val="center"/>
          </w:tcPr>
          <w:p w14:paraId="3BA0E74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0BD3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56DBEC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异动预警</w:t>
            </w:r>
          </w:p>
        </w:tc>
        <w:tc>
          <w:tcPr>
            <w:tcW w:w="2381" w:type="dxa"/>
            <w:vAlign w:val="center"/>
          </w:tcPr>
          <w:p w14:paraId="486C23E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掉队自动提醒</w:t>
            </w:r>
          </w:p>
        </w:tc>
        <w:tc>
          <w:tcPr>
            <w:tcW w:w="4082" w:type="dxa"/>
            <w:vAlign w:val="center"/>
          </w:tcPr>
          <w:p w14:paraId="425F31D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达成率低于阈值或环比异动时自动预警</w:t>
            </w:r>
          </w:p>
        </w:tc>
        <w:tc>
          <w:tcPr>
            <w:tcW w:w="567" w:type="dxa"/>
            <w:vAlign w:val="center"/>
          </w:tcPr>
          <w:p w14:paraId="3BCEBED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5BFED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118C5C9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自动复盘</w:t>
            </w:r>
          </w:p>
        </w:tc>
        <w:tc>
          <w:tcPr>
            <w:tcW w:w="2381" w:type="dxa"/>
            <w:vAlign w:val="center"/>
          </w:tcPr>
          <w:p w14:paraId="3693A1B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一键生成报告</w:t>
            </w:r>
          </w:p>
        </w:tc>
        <w:tc>
          <w:tcPr>
            <w:tcW w:w="4082" w:type="dxa"/>
            <w:vAlign w:val="center"/>
          </w:tcPr>
          <w:p w14:paraId="497E1F0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大促结束自动输出得失归因+竞对对比</w:t>
            </w:r>
          </w:p>
        </w:tc>
        <w:tc>
          <w:tcPr>
            <w:tcW w:w="567" w:type="dxa"/>
            <w:vAlign w:val="center"/>
          </w:tcPr>
          <w:p w14:paraId="614D8ED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 w14:paraId="156C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25DEF9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专项追踪</w:t>
            </w:r>
          </w:p>
        </w:tc>
        <w:tc>
          <w:tcPr>
            <w:tcW w:w="2381" w:type="dxa"/>
            <w:vAlign w:val="center"/>
          </w:tcPr>
          <w:p w14:paraId="59F51A1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价格投诉/会员资产</w:t>
            </w:r>
          </w:p>
        </w:tc>
        <w:tc>
          <w:tcPr>
            <w:tcW w:w="4082" w:type="dxa"/>
            <w:vAlign w:val="center"/>
          </w:tcPr>
          <w:p w14:paraId="6A0A686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补贴投诉、会员拉新/激活/复购专项</w:t>
            </w:r>
          </w:p>
        </w:tc>
        <w:tc>
          <w:tcPr>
            <w:tcW w:w="567" w:type="dxa"/>
            <w:vAlign w:val="center"/>
          </w:tcPr>
          <w:p w14:paraId="4583B54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</w:tbl>
    <w:p w14:paraId="5222B7A1">
      <w:pPr>
        <w:spacing w:before="0" w:after="40" w:line="324" w:lineRule="auto"/>
      </w:pPr>
    </w:p>
    <w:p w14:paraId="57FF67EE">
      <w:pPr>
        <w:pStyle w:val="4"/>
      </w:pPr>
      <w:bookmarkStart w:id="26" w:name="_Toc6731"/>
      <w:r>
        <w:t>6.4 指标体系与口径（统一口径表）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 w14:paraId="3639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32919F3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6A9BC36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定义 / 口径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BBC81B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数据来源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265B0EB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统计粒度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A4113F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CE7933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优先级</w:t>
            </w:r>
          </w:p>
        </w:tc>
      </w:tr>
      <w:tr w14:paraId="79A3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6FAF92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GMV</w:t>
            </w:r>
          </w:p>
        </w:tc>
        <w:tc>
          <w:tcPr>
            <w:tcW w:w="2268" w:type="dxa"/>
            <w:vAlign w:val="center"/>
          </w:tcPr>
          <w:p w14:paraId="188065B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成交金额</w:t>
            </w:r>
          </w:p>
        </w:tc>
        <w:tc>
          <w:tcPr>
            <w:tcW w:w="1701" w:type="dxa"/>
            <w:vAlign w:val="center"/>
          </w:tcPr>
          <w:p w14:paraId="476B46F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各渠道BI/订单</w:t>
            </w:r>
          </w:p>
        </w:tc>
        <w:tc>
          <w:tcPr>
            <w:tcW w:w="1361" w:type="dxa"/>
            <w:vAlign w:val="center"/>
          </w:tcPr>
          <w:p w14:paraId="19835B8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渠道×阶段</w:t>
            </w:r>
          </w:p>
        </w:tc>
        <w:tc>
          <w:tcPr>
            <w:tcW w:w="1814" w:type="dxa"/>
            <w:vAlign w:val="center"/>
          </w:tcPr>
          <w:p w14:paraId="331F346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整体规模与达成</w:t>
            </w:r>
          </w:p>
        </w:tc>
        <w:tc>
          <w:tcPr>
            <w:tcW w:w="680" w:type="dxa"/>
            <w:vAlign w:val="center"/>
          </w:tcPr>
          <w:p w14:paraId="7FF53B1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62B08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1416A4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达成率</w:t>
            </w:r>
          </w:p>
        </w:tc>
        <w:tc>
          <w:tcPr>
            <w:tcW w:w="2268" w:type="dxa"/>
            <w:vAlign w:val="center"/>
          </w:tcPr>
          <w:p w14:paraId="350FE45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实际GMV ÷ 阶段累计目标</w:t>
            </w:r>
          </w:p>
        </w:tc>
        <w:tc>
          <w:tcPr>
            <w:tcW w:w="1701" w:type="dxa"/>
            <w:vAlign w:val="center"/>
          </w:tcPr>
          <w:p w14:paraId="67A7EE1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看板计算</w:t>
            </w:r>
          </w:p>
        </w:tc>
        <w:tc>
          <w:tcPr>
            <w:tcW w:w="1361" w:type="dxa"/>
            <w:vAlign w:val="center"/>
          </w:tcPr>
          <w:p w14:paraId="0E71140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渠道×阶段</w:t>
            </w:r>
          </w:p>
        </w:tc>
        <w:tc>
          <w:tcPr>
            <w:tcW w:w="1814" w:type="dxa"/>
            <w:vAlign w:val="center"/>
          </w:tcPr>
          <w:p w14:paraId="64956C5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进度监控与预警</w:t>
            </w:r>
          </w:p>
        </w:tc>
        <w:tc>
          <w:tcPr>
            <w:tcW w:w="680" w:type="dxa"/>
            <w:vAlign w:val="center"/>
          </w:tcPr>
          <w:p w14:paraId="587ABE3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6C327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4CAECF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曝光</w:t>
            </w:r>
          </w:p>
        </w:tc>
        <w:tc>
          <w:tcPr>
            <w:tcW w:w="2268" w:type="dxa"/>
            <w:vAlign w:val="center"/>
          </w:tcPr>
          <w:p w14:paraId="3DCA3CD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自然曝光 + 付费曝光</w:t>
            </w:r>
          </w:p>
        </w:tc>
        <w:tc>
          <w:tcPr>
            <w:tcW w:w="1701" w:type="dxa"/>
            <w:vAlign w:val="center"/>
          </w:tcPr>
          <w:p w14:paraId="27D43F2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平台后台</w:t>
            </w:r>
          </w:p>
        </w:tc>
        <w:tc>
          <w:tcPr>
            <w:tcW w:w="1361" w:type="dxa"/>
            <w:vAlign w:val="center"/>
          </w:tcPr>
          <w:p w14:paraId="10B3815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渠道×日</w:t>
            </w:r>
          </w:p>
        </w:tc>
        <w:tc>
          <w:tcPr>
            <w:tcW w:w="1814" w:type="dxa"/>
            <w:vAlign w:val="center"/>
          </w:tcPr>
          <w:p w14:paraId="7335997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流量健康度</w:t>
            </w:r>
          </w:p>
        </w:tc>
        <w:tc>
          <w:tcPr>
            <w:tcW w:w="680" w:type="dxa"/>
            <w:vAlign w:val="center"/>
          </w:tcPr>
          <w:p w14:paraId="3504841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715D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C78D64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进店转化率</w:t>
            </w:r>
          </w:p>
        </w:tc>
        <w:tc>
          <w:tcPr>
            <w:tcW w:w="2268" w:type="dxa"/>
            <w:vAlign w:val="center"/>
          </w:tcPr>
          <w:p w14:paraId="5D48355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下单用户数 ÷ 进店访客数</w:t>
            </w:r>
          </w:p>
        </w:tc>
        <w:tc>
          <w:tcPr>
            <w:tcW w:w="1701" w:type="dxa"/>
            <w:vAlign w:val="center"/>
          </w:tcPr>
          <w:p w14:paraId="16B4165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平台后台</w:t>
            </w:r>
          </w:p>
        </w:tc>
        <w:tc>
          <w:tcPr>
            <w:tcW w:w="1361" w:type="dxa"/>
            <w:vAlign w:val="center"/>
          </w:tcPr>
          <w:p w14:paraId="1197E88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渠道×日</w:t>
            </w:r>
          </w:p>
        </w:tc>
        <w:tc>
          <w:tcPr>
            <w:tcW w:w="1814" w:type="dxa"/>
            <w:vAlign w:val="center"/>
          </w:tcPr>
          <w:p w14:paraId="7FF7B23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承接与转化能力</w:t>
            </w:r>
          </w:p>
        </w:tc>
        <w:tc>
          <w:tcPr>
            <w:tcW w:w="680" w:type="dxa"/>
            <w:vAlign w:val="center"/>
          </w:tcPr>
          <w:p w14:paraId="6B67869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1F816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D738AE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ROI</w:t>
            </w:r>
          </w:p>
        </w:tc>
        <w:tc>
          <w:tcPr>
            <w:tcW w:w="2268" w:type="dxa"/>
            <w:vAlign w:val="center"/>
          </w:tcPr>
          <w:p w14:paraId="6C69EE2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推广成交额 ÷ 推广花费</w:t>
            </w:r>
          </w:p>
        </w:tc>
        <w:tc>
          <w:tcPr>
            <w:tcW w:w="1701" w:type="dxa"/>
            <w:vAlign w:val="center"/>
          </w:tcPr>
          <w:p w14:paraId="0860902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推广后台</w:t>
            </w:r>
          </w:p>
        </w:tc>
        <w:tc>
          <w:tcPr>
            <w:tcW w:w="1361" w:type="dxa"/>
            <w:vAlign w:val="center"/>
          </w:tcPr>
          <w:p w14:paraId="049A62B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渠道×阶段</w:t>
            </w:r>
          </w:p>
        </w:tc>
        <w:tc>
          <w:tcPr>
            <w:tcW w:w="1814" w:type="dxa"/>
            <w:vAlign w:val="center"/>
          </w:tcPr>
          <w:p w14:paraId="4B83ABF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投放效率</w:t>
            </w:r>
          </w:p>
        </w:tc>
        <w:tc>
          <w:tcPr>
            <w:tcW w:w="680" w:type="dxa"/>
            <w:vAlign w:val="center"/>
          </w:tcPr>
          <w:p w14:paraId="7C4ED9F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 w14:paraId="436E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74711B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客单价</w:t>
            </w:r>
          </w:p>
        </w:tc>
        <w:tc>
          <w:tcPr>
            <w:tcW w:w="2268" w:type="dxa"/>
            <w:vAlign w:val="center"/>
          </w:tcPr>
          <w:p w14:paraId="2212A07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GMV ÷ 订单量</w:t>
            </w:r>
          </w:p>
        </w:tc>
        <w:tc>
          <w:tcPr>
            <w:tcW w:w="1701" w:type="dxa"/>
            <w:vAlign w:val="center"/>
          </w:tcPr>
          <w:p w14:paraId="43B88AF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看板计算</w:t>
            </w:r>
          </w:p>
        </w:tc>
        <w:tc>
          <w:tcPr>
            <w:tcW w:w="1361" w:type="dxa"/>
            <w:vAlign w:val="center"/>
          </w:tcPr>
          <w:p w14:paraId="767F033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渠道×阶段</w:t>
            </w:r>
          </w:p>
        </w:tc>
        <w:tc>
          <w:tcPr>
            <w:tcW w:w="1814" w:type="dxa"/>
            <w:vAlign w:val="center"/>
          </w:tcPr>
          <w:p w14:paraId="0E41C31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价格与促销策略</w:t>
            </w:r>
          </w:p>
        </w:tc>
        <w:tc>
          <w:tcPr>
            <w:tcW w:w="680" w:type="dxa"/>
            <w:vAlign w:val="center"/>
          </w:tcPr>
          <w:p w14:paraId="6CB3983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 w14:paraId="5666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488AEB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会员激活率</w:t>
            </w:r>
          </w:p>
        </w:tc>
        <w:tc>
          <w:tcPr>
            <w:tcW w:w="2268" w:type="dxa"/>
            <w:vAlign w:val="center"/>
          </w:tcPr>
          <w:p w14:paraId="0A3B14C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阶段激活会员数 ÷ 目标</w:t>
            </w:r>
          </w:p>
        </w:tc>
        <w:tc>
          <w:tcPr>
            <w:tcW w:w="1701" w:type="dxa"/>
            <w:vAlign w:val="center"/>
          </w:tcPr>
          <w:p w14:paraId="33F4EC6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会员系统</w:t>
            </w:r>
          </w:p>
        </w:tc>
        <w:tc>
          <w:tcPr>
            <w:tcW w:w="1361" w:type="dxa"/>
            <w:vAlign w:val="center"/>
          </w:tcPr>
          <w:p w14:paraId="2C8B1C1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渠道×阶段</w:t>
            </w:r>
          </w:p>
        </w:tc>
        <w:tc>
          <w:tcPr>
            <w:tcW w:w="1814" w:type="dxa"/>
            <w:vAlign w:val="center"/>
          </w:tcPr>
          <w:p w14:paraId="43B4C29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私域健康度</w:t>
            </w:r>
          </w:p>
        </w:tc>
        <w:tc>
          <w:tcPr>
            <w:tcW w:w="680" w:type="dxa"/>
            <w:vAlign w:val="center"/>
          </w:tcPr>
          <w:p w14:paraId="0217820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 w14:paraId="771A3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9DDC17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补贴投诉/剔除</w:t>
            </w:r>
          </w:p>
        </w:tc>
        <w:tc>
          <w:tcPr>
            <w:tcW w:w="2268" w:type="dxa"/>
            <w:vAlign w:val="center"/>
          </w:tcPr>
          <w:p w14:paraId="467D872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投诉与剔除的次数与金额</w:t>
            </w:r>
          </w:p>
        </w:tc>
        <w:tc>
          <w:tcPr>
            <w:tcW w:w="1701" w:type="dxa"/>
            <w:vAlign w:val="center"/>
          </w:tcPr>
          <w:p w14:paraId="2545BB3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售后/平台</w:t>
            </w:r>
          </w:p>
        </w:tc>
        <w:tc>
          <w:tcPr>
            <w:tcW w:w="1361" w:type="dxa"/>
            <w:vAlign w:val="center"/>
          </w:tcPr>
          <w:p w14:paraId="5FC5493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渠道×日</w:t>
            </w:r>
          </w:p>
        </w:tc>
        <w:tc>
          <w:tcPr>
            <w:tcW w:w="1814" w:type="dxa"/>
            <w:vAlign w:val="center"/>
          </w:tcPr>
          <w:p w14:paraId="036DE33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价格管控</w:t>
            </w:r>
          </w:p>
        </w:tc>
        <w:tc>
          <w:tcPr>
            <w:tcW w:w="680" w:type="dxa"/>
            <w:vAlign w:val="center"/>
          </w:tcPr>
          <w:p w14:paraId="0523728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</w:tbl>
    <w:p w14:paraId="2EF86150">
      <w:pPr>
        <w:spacing w:before="0" w:after="40" w:line="324" w:lineRule="auto"/>
      </w:pPr>
    </w:p>
    <w:p w14:paraId="043A3499">
      <w:pPr>
        <w:pStyle w:val="4"/>
      </w:pPr>
      <w:bookmarkStart w:id="27" w:name="_Toc18903"/>
      <w:r>
        <w:t>6.5 非功能需求</w:t>
      </w:r>
      <w:bookmarkEnd w:id="27"/>
    </w:p>
    <w:p w14:paraId="71B9B9CA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数据实时性：活动期间T+0更新，最迟延迟1小时。</w:t>
      </w:r>
    </w:p>
    <w:p w14:paraId="03DEFB7E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权限：按角色控制渠道可见范围；口径变更留审计日志。</w:t>
      </w:r>
    </w:p>
    <w:p w14:paraId="6E020BBF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性能：首屏加载&lt;2秒，支持同时200人在线。</w:t>
      </w:r>
    </w:p>
    <w:p w14:paraId="65E5F7E2">
      <w:pPr>
        <w:pStyle w:val="4"/>
      </w:pPr>
      <w:bookmarkStart w:id="28" w:name="_Toc3518"/>
      <w:r>
        <w:t>6.6 验收标准</w:t>
      </w:r>
      <w:bookmarkEnd w:id="28"/>
    </w:p>
    <w:p w14:paraId="1DF5E9F7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大促期间各渠道达成/缺口实时可见，覆盖率100%。</w:t>
      </w:r>
    </w:p>
    <w:p w14:paraId="471594D1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异动预警从数据变化到推送&lt;5分钟，准确率≥90%。</w:t>
      </w:r>
    </w:p>
    <w:p w14:paraId="07A3E378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复盘报告一键生成，产出周期≤1天，指标口径与源系统一致。</w:t>
      </w:r>
    </w:p>
    <w:p w14:paraId="237CA1AD">
      <w:pPr>
        <w:pStyle w:val="4"/>
      </w:pPr>
      <w:bookmarkStart w:id="29" w:name="_Toc23316"/>
      <w:r>
        <w:t>6.7 迭代规划</w:t>
      </w:r>
      <w:bookmarkEnd w:id="29"/>
    </w:p>
    <w:p w14:paraId="0A285845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V1.0（MVP）：总览 + 渠道详情 + 基础异动预警。</w:t>
      </w:r>
    </w:p>
    <w:p w14:paraId="2DC7AD56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V1.1：阶段对比 + 自动复盘报告。</w:t>
      </w:r>
    </w:p>
    <w:p w14:paraId="35C8ECF2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V2.0：价格/会员专项、竞对监控、销售预测与库存联动。</w:t>
      </w:r>
    </w:p>
    <w:p w14:paraId="2E24E8FC">
      <w:pPr>
        <w:pStyle w:val="3"/>
      </w:pPr>
      <w:bookmarkStart w:id="30" w:name="_Toc13794"/>
      <w:r>
        <w:t>七、Figma 原型设计指引</w:t>
      </w:r>
      <w:bookmarkEnd w:id="30"/>
    </w:p>
    <w:p w14:paraId="163F8E3A">
      <w:pPr>
        <w:pStyle w:val="4"/>
      </w:pPr>
      <w:bookmarkStart w:id="31" w:name="_Toc29497"/>
      <w:r>
        <w:t>7.1 信息架构</w:t>
      </w:r>
      <w:bookmarkEnd w:id="31"/>
    </w:p>
    <w:p w14:paraId="31082040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采用“总览 → 渠道 → 明细”三层结构：总览页给管理层一屏结论；渠道页给运营横向对比与下钻；明细页给渠道负责人定位问题。</w:t>
      </w:r>
    </w:p>
    <w:p w14:paraId="7C3D5F6C">
      <w:pPr>
        <w:pStyle w:val="4"/>
      </w:pPr>
      <w:bookmarkStart w:id="32" w:name="_Toc20322"/>
      <w:r>
        <w:t>7.2 页面与核心组件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F68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422A95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页面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A4F851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核心组件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F7EC5B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025F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530052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总览页</w:t>
            </w:r>
          </w:p>
        </w:tc>
        <w:tc>
          <w:tcPr>
            <w:tcW w:w="3402" w:type="dxa"/>
            <w:vAlign w:val="center"/>
          </w:tcPr>
          <w:p w14:paraId="6FDF6B2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KPI卡片 / 达成率进度条 / 渠道分布图 / 阶段进度</w:t>
            </w:r>
          </w:p>
        </w:tc>
        <w:tc>
          <w:tcPr>
            <w:tcW w:w="3628" w:type="dxa"/>
            <w:vAlign w:val="center"/>
          </w:tcPr>
          <w:p w14:paraId="2677D0B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顶部4个KPI卡(GMV/达成率/缺口/渠道数)，下方达成率进度条与渠道对比图</w:t>
            </w:r>
          </w:p>
        </w:tc>
      </w:tr>
      <w:tr w14:paraId="45DC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018651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渠道详情页</w:t>
            </w:r>
          </w:p>
        </w:tc>
        <w:tc>
          <w:tcPr>
            <w:tcW w:w="3402" w:type="dxa"/>
            <w:vAlign w:val="center"/>
          </w:tcPr>
          <w:p w14:paraId="5DE4B58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指标Tab / 筛选器 / 折线趋势 / 对比表</w:t>
            </w:r>
          </w:p>
        </w:tc>
        <w:tc>
          <w:tcPr>
            <w:tcW w:w="3628" w:type="dxa"/>
            <w:vAlign w:val="center"/>
          </w:tcPr>
          <w:p w14:paraId="245E4B1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顶部渠道Tab切换，中部指标卡片+趋势折线，支持按阶段/品类筛选</w:t>
            </w:r>
          </w:p>
        </w:tc>
      </w:tr>
      <w:tr w14:paraId="79D0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1CA971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异动预警页</w:t>
            </w:r>
          </w:p>
        </w:tc>
        <w:tc>
          <w:tcPr>
            <w:tcW w:w="3402" w:type="dxa"/>
            <w:vAlign w:val="center"/>
          </w:tcPr>
          <w:p w14:paraId="3FD5624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预警列表 / 规则配置 / 订阅</w:t>
            </w:r>
          </w:p>
        </w:tc>
        <w:tc>
          <w:tcPr>
            <w:tcW w:w="3628" w:type="dxa"/>
            <w:vAlign w:val="center"/>
          </w:tcPr>
          <w:p w14:paraId="72CAC14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按渠道×指标列出预警，运营可订阅推送</w:t>
            </w:r>
          </w:p>
        </w:tc>
      </w:tr>
      <w:tr w14:paraId="1026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213032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自动复盘页</w:t>
            </w:r>
          </w:p>
        </w:tc>
        <w:tc>
          <w:tcPr>
            <w:tcW w:w="3402" w:type="dxa"/>
            <w:vAlign w:val="center"/>
          </w:tcPr>
          <w:p w14:paraId="63D905C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报告模板 / 得失卡片 / 导出</w:t>
            </w:r>
          </w:p>
        </w:tc>
        <w:tc>
          <w:tcPr>
            <w:tcW w:w="3628" w:type="dxa"/>
            <w:vAlign w:val="center"/>
          </w:tcPr>
          <w:p w14:paraId="0DD028B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一键生成，含增长/失血归因与竞对对比</w:t>
            </w:r>
          </w:p>
        </w:tc>
      </w:tr>
    </w:tbl>
    <w:p w14:paraId="4DA58747">
      <w:pPr>
        <w:spacing w:before="0" w:after="40" w:line="324" w:lineRule="auto"/>
      </w:pPr>
    </w:p>
    <w:p w14:paraId="7F9DF457">
      <w:pPr>
        <w:pStyle w:val="4"/>
      </w:pPr>
      <w:bookmarkStart w:id="33" w:name="_Toc17932"/>
      <w:r>
        <w:t>7.3 设计规范</w:t>
      </w:r>
      <w:bookmarkEnd w:id="33"/>
    </w:p>
    <w:p w14:paraId="44CE6304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栅格：12列栅格，页面左右留白24px；移动端另出一版9:16布局供负责人手机查看。</w:t>
      </w:r>
    </w:p>
    <w:p w14:paraId="4C45EB37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配色：品牌深蓝(#1F3B5C)为主，增长用绿(#1F8A70)、失血用红(#C0392B)，达成用橙(#E67E22)，避免全彩轰炸。</w:t>
      </w:r>
    </w:p>
    <w:p w14:paraId="2C9D6589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字体：中文用思源黑体/苹方，数字用等宽数字字体保证对齐；正文字号12–14px，标题16–20px。</w:t>
      </w:r>
    </w:p>
    <w:p w14:paraId="59BD8C4E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图表：柱状图看对比、折线图看趋势、进度条看达成；每个图表带口径说明与更新时间。</w:t>
      </w:r>
    </w:p>
    <w:p w14:paraId="2A34F4F4">
      <w:pPr>
        <w:pStyle w:val="4"/>
      </w:pPr>
      <w:bookmarkStart w:id="34" w:name="_Toc10638"/>
      <w:r>
        <w:t>7.4 原型设计步骤</w:t>
      </w:r>
      <w:bookmarkEnd w:id="34"/>
    </w:p>
    <w:p w14:paraId="4FB42387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第1步·画信息架构：用Figma“白板”把“总览→渠道→明细”页面关系画成线框草图。</w:t>
      </w:r>
    </w:p>
    <w:p w14:paraId="6D45F677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第2步·搭栅格与组件库：先创建12列自动布局Frame，把KPI卡片、进度条、图表容器、筛选器做成可复用组件(Component)。</w:t>
      </w:r>
    </w:p>
    <w:p w14:paraId="36E5E015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第3步·画总览页：放4个KPI卡 + 达成率进度条 + 渠道对比柱状图 + 阶段进度条；用示意数据占位。</w:t>
      </w:r>
    </w:p>
    <w:p w14:paraId="1E68D322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第4步·画渠道详情页：加Tab切换、趋势折线、筛选器；做一页“小程序(私域)-17.6%”的失血预警状态。</w:t>
      </w:r>
    </w:p>
    <w:p w14:paraId="022B17A2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第5步·画异动预警与复盘页：预警列表 + 自动报告模板。</w:t>
      </w:r>
    </w:p>
    <w:p w14:paraId="51675D14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第6步·做交互与评审：给Tab、筛选器加交互(Prototype)，请电商部运营试用并收集反馈，迭代2–3轮。</w:t>
      </w:r>
    </w:p>
    <w:p w14:paraId="6AF2A8B5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第7步·标注与交付：对每张图标注数据口径与更新时间，导出高清图给研发评审。</w:t>
      </w:r>
    </w:p>
    <w:p w14:paraId="4C5B822D">
      <w:pPr>
        <w:pStyle w:val="4"/>
      </w:pPr>
      <w:bookmarkStart w:id="35" w:name="_Toc11705"/>
      <w:r>
        <w:t>7.5 关键设计要点</w:t>
      </w:r>
      <w:bookmarkEnd w:id="35"/>
    </w:p>
    <w:p w14:paraId="541D494D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把“失血渠道的预警状态”作为设计重点：例如小程序蓄水期达成率低于80%时，进度条转红并弹出预警卡，点击可下钻到“会员激活率31.0%”的根因，让运营一眼看到“哪里掉了、为什么掉”。</w:t>
      </w:r>
    </w:p>
    <w:p w14:paraId="7C43E567">
      <w:pPr>
        <w:pStyle w:val="4"/>
      </w:pPr>
      <w:bookmarkStart w:id="36" w:name="_Toc17810"/>
      <w:r>
        <w:t>7.6 看板线框示意图（Figma 风格）</w:t>
      </w:r>
      <w:bookmarkEnd w:id="36"/>
    </w:p>
    <w:p w14:paraId="473F2C3E">
      <w:pPr>
        <w:spacing w:before="0" w:after="80" w:line="324" w:lineRule="auto"/>
      </w:pPr>
      <w:r>
        <w:rPr>
          <w:rFonts w:ascii="Times New Roman" w:hAnsi="Times New Roman" w:eastAsia="宋体"/>
          <w:b w:val="0"/>
          <w:sz w:val="22"/>
        </w:rPr>
        <w:t>下图为本产品“总览页”的线框示意，用于指导原型设计与研发评审，重点呈现失血预警与口径说明。</w:t>
      </w:r>
    </w:p>
    <w:p w14:paraId="03B0E164">
      <w:r>
        <w:drawing>
          <wp:inline distT="0" distB="0" distL="114300" distR="114300">
            <wp:extent cx="5939790" cy="3761740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B069">
      <w:pPr>
        <w:spacing w:before="60" w:after="120" w:line="324" w:lineRule="auto"/>
        <w:jc w:val="center"/>
      </w:pPr>
      <w:r>
        <w:rPr>
          <w:rFonts w:ascii="Times New Roman" w:hAnsi="Times New Roman" w:eastAsia="宋体"/>
          <w:b w:val="0"/>
          <w:sz w:val="18"/>
        </w:rPr>
        <w:t>图3 大促活动数据作战看板 · 总览页线框示意图（含失血预警、节奏进度与口径说明）</w:t>
      </w:r>
    </w:p>
    <w:p w14:paraId="2D7255E3">
      <w:pPr>
        <w:pStyle w:val="3"/>
      </w:pPr>
      <w:bookmarkStart w:id="37" w:name="_Toc16292"/>
      <w:r>
        <w:t>八、附录：数据口径与来源</w:t>
      </w:r>
      <w:bookmarkEnd w:id="37"/>
    </w:p>
    <w:p w14:paraId="4D1C4BBA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本案例全部经营数字为脱敏示意值（非任何公司真实数据），原始数据文件不随本作品分发。</w:t>
      </w:r>
    </w:p>
    <w:p w14:paraId="2DBD831F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口径说明：整体GMV按“四大渠道汇总”口径(49,000→46,400, -5.3%)；渠道增速综合各渠道复盘示意。货架电商存在汇总表92.4%与货架复盘93%两种口径，正文以汇总表为准并注明。</w:t>
      </w:r>
    </w:p>
    <w:p w14:paraId="748DD8ED">
      <w:pPr>
        <w:spacing w:before="0" w:after="40" w:line="324" w:lineRule="auto"/>
        <w:ind w:left="227"/>
      </w:pPr>
      <w:r>
        <w:rPr>
          <w:rFonts w:ascii="Times New Roman" w:hAnsi="Times New Roman" w:eastAsia="宋体"/>
          <w:b w:val="0"/>
          <w:sz w:val="22"/>
        </w:rPr>
        <w:t>•  客单价、ROI、会员激活率、补贴损失等为脱敏示意值；未提供的细节不做臆测填充。</w:t>
      </w:r>
    </w:p>
    <w:p w14:paraId="23C4688A">
      <w:pPr>
        <w:spacing w:before="0" w:after="40" w:line="324" w:lineRule="auto"/>
        <w:ind w:left="227"/>
      </w:pPr>
    </w:p>
    <w:sectPr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42526"/>
    <w:rsid w:val="5D7C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24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00" w:line="288" w:lineRule="auto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80" w:after="100" w:line="288" w:lineRule="auto"/>
      <w:outlineLvl w:val="1"/>
    </w:pPr>
    <w:rPr>
      <w:rFonts w:ascii="Times New Roman" w:hAnsi="Times New Roman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4894</Words>
  <Characters>5678</Characters>
  <Lines>0</Lines>
  <Paragraphs>0</Paragraphs>
  <TotalTime>45</TotalTime>
  <ScaleCrop>false</ScaleCrop>
  <LinksUpToDate>false</LinksUpToDate>
  <CharactersWithSpaces>5965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lsy</cp:lastModifiedBy>
  <dcterms:modified xsi:type="dcterms:W3CDTF">2026-09-30T09:17:57Z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eyJoZGlkIjoiMTk0NDUyZjk2MTE3OTI0ZjUyNTFiNjBhNzRhODZjMDciLCJ1c2VySWQiOiIyODU3OTgwMDkifQ==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F9559E4ABF7643BCAB2F5555EA2C6D56_13</vt:lpwstr>
  </property>
</Properties>
</file>