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14777" w14:textId="4DD58E20" w:rsidR="003C59BB" w:rsidRPr="003C59BB" w:rsidRDefault="003C59BB" w:rsidP="003C59BB">
      <w:pPr>
        <w:rPr>
          <w:rFonts w:ascii="Garamond" w:hAnsi="Garamond"/>
          <w:b/>
          <w:bCs/>
        </w:rPr>
      </w:pPr>
      <w:r w:rsidRPr="003C59BB">
        <w:rPr>
          <w:rFonts w:ascii="Garamond" w:hAnsi="Garamond"/>
          <w:b/>
          <w:bCs/>
        </w:rPr>
        <w:t>NOTES on Backpropagation: Rumelhart, Hinton &amp; Williams (1986)</w:t>
      </w:r>
    </w:p>
    <w:p w14:paraId="13FF75BA" w14:textId="77777777" w:rsidR="003C59BB" w:rsidRPr="003C59BB" w:rsidRDefault="003C59BB" w:rsidP="003C59BB">
      <w:pPr>
        <w:rPr>
          <w:rFonts w:ascii="Garamond" w:hAnsi="Garamond"/>
        </w:rPr>
      </w:pPr>
      <w:r w:rsidRPr="003C59BB">
        <w:rPr>
          <w:rFonts w:ascii="Garamond" w:hAnsi="Garamond"/>
        </w:rPr>
        <w:t xml:space="preserve">The 1986 Nature paper — </w:t>
      </w:r>
      <w:r w:rsidRPr="003C59BB">
        <w:rPr>
          <w:rFonts w:ascii="Garamond" w:hAnsi="Garamond"/>
          <w:i/>
          <w:iCs/>
        </w:rPr>
        <w:t>"Learning representations by back-propagating errors"</w:t>
      </w:r>
      <w:r w:rsidRPr="003C59BB">
        <w:rPr>
          <w:rFonts w:ascii="Garamond" w:hAnsi="Garamond"/>
        </w:rPr>
        <w:t xml:space="preserve"> — is one of the most consequential papers in the history of machine learning. Here is a careful account of what they actually developed and argued.</w:t>
      </w:r>
    </w:p>
    <w:p w14:paraId="4A541DB6" w14:textId="77777777" w:rsidR="003C59BB" w:rsidRPr="003C59BB" w:rsidRDefault="00E02CC8" w:rsidP="003C59BB">
      <w:pPr>
        <w:rPr>
          <w:rFonts w:ascii="Garamond" w:hAnsi="Garamond"/>
        </w:rPr>
      </w:pPr>
      <w:r>
        <w:rPr>
          <w:rFonts w:ascii="Garamond" w:hAnsi="Garamond"/>
          <w:noProof/>
        </w:rPr>
        <w:pict w14:anchorId="44C65B2E">
          <v:rect id="_x0000_i1031" alt="" style="width:468pt;height:.05pt;mso-width-percent:0;mso-height-percent:0;mso-width-percent:0;mso-height-percent:0" o:hralign="center" o:hrstd="t" o:hr="t" fillcolor="#a0a0a0" stroked="f"/>
        </w:pict>
      </w:r>
    </w:p>
    <w:p w14:paraId="1804B15A" w14:textId="77777777" w:rsidR="003C59BB" w:rsidRPr="003C59BB" w:rsidRDefault="003C59BB" w:rsidP="003C59BB">
      <w:pPr>
        <w:rPr>
          <w:rFonts w:ascii="Garamond" w:hAnsi="Garamond"/>
          <w:b/>
          <w:bCs/>
        </w:rPr>
      </w:pPr>
      <w:r w:rsidRPr="003C59BB">
        <w:rPr>
          <w:rFonts w:ascii="Garamond" w:hAnsi="Garamond"/>
          <w:b/>
          <w:bCs/>
        </w:rPr>
        <w:t>The Core Problem They Were Solving</w:t>
      </w:r>
    </w:p>
    <w:p w14:paraId="07148232" w14:textId="77777777" w:rsidR="003C59BB" w:rsidRPr="003C59BB" w:rsidRDefault="003C59BB" w:rsidP="003C59BB">
      <w:pPr>
        <w:rPr>
          <w:rFonts w:ascii="Garamond" w:hAnsi="Garamond"/>
        </w:rPr>
      </w:pPr>
      <w:r w:rsidRPr="003C59BB">
        <w:rPr>
          <w:rFonts w:ascii="Garamond" w:hAnsi="Garamond"/>
        </w:rPr>
        <w:t xml:space="preserve">Prior to this work, multilayer neural networks had no practical learning algorithm. The perceptron learning rule worked only for single-layer networks. The challenge was: </w:t>
      </w:r>
      <w:r w:rsidRPr="003C59BB">
        <w:rPr>
          <w:rFonts w:ascii="Garamond" w:hAnsi="Garamond"/>
          <w:b/>
          <w:bCs/>
        </w:rPr>
        <w:t>how do you assign credit (or blame) for the output error to weights buried in hidden layers</w:t>
      </w:r>
      <w:r w:rsidRPr="003C59BB">
        <w:rPr>
          <w:rFonts w:ascii="Garamond" w:hAnsi="Garamond"/>
        </w:rPr>
        <w:t xml:space="preserve">, where there is no direct supervision signal? This is the </w:t>
      </w:r>
      <w:r w:rsidRPr="003C59BB">
        <w:rPr>
          <w:rFonts w:ascii="Garamond" w:hAnsi="Garamond"/>
          <w:i/>
          <w:iCs/>
        </w:rPr>
        <w:t>credit assignment problem</w:t>
      </w:r>
      <w:r w:rsidRPr="003C59BB">
        <w:rPr>
          <w:rFonts w:ascii="Garamond" w:hAnsi="Garamond"/>
        </w:rPr>
        <w:t>.</w:t>
      </w:r>
    </w:p>
    <w:p w14:paraId="38D369FE" w14:textId="77777777" w:rsidR="003C59BB" w:rsidRPr="003C59BB" w:rsidRDefault="00E02CC8" w:rsidP="003C59BB">
      <w:pPr>
        <w:rPr>
          <w:rFonts w:ascii="Garamond" w:hAnsi="Garamond"/>
        </w:rPr>
      </w:pPr>
      <w:r>
        <w:rPr>
          <w:rFonts w:ascii="Garamond" w:hAnsi="Garamond"/>
          <w:noProof/>
        </w:rPr>
        <w:pict w14:anchorId="28873AD3">
          <v:rect id="_x0000_i1030" alt="" style="width:468pt;height:.05pt;mso-width-percent:0;mso-height-percent:0;mso-width-percent:0;mso-height-percent:0" o:hralign="center" o:hrstd="t" o:hr="t" fillcolor="#a0a0a0" stroked="f"/>
        </w:pict>
      </w:r>
    </w:p>
    <w:p w14:paraId="21960719" w14:textId="77777777" w:rsidR="003C59BB" w:rsidRPr="003C59BB" w:rsidRDefault="003C59BB" w:rsidP="003C59BB">
      <w:pPr>
        <w:rPr>
          <w:rFonts w:ascii="Garamond" w:hAnsi="Garamond"/>
          <w:b/>
          <w:bCs/>
        </w:rPr>
      </w:pPr>
      <w:r w:rsidRPr="003C59BB">
        <w:rPr>
          <w:rFonts w:ascii="Garamond" w:hAnsi="Garamond"/>
          <w:b/>
          <w:bCs/>
        </w:rPr>
        <w:t>The Architecture</w:t>
      </w:r>
    </w:p>
    <w:p w14:paraId="139B0B0C" w14:textId="77777777" w:rsidR="003C59BB" w:rsidRPr="003C59BB" w:rsidRDefault="003C59BB" w:rsidP="003C59BB">
      <w:pPr>
        <w:rPr>
          <w:rFonts w:ascii="Garamond" w:hAnsi="Garamond"/>
        </w:rPr>
      </w:pPr>
      <w:r w:rsidRPr="003C59BB">
        <w:rPr>
          <w:rFonts w:ascii="Garamond" w:hAnsi="Garamond"/>
        </w:rPr>
        <w:t xml:space="preserve">Rumelhart et al. worked with </w:t>
      </w:r>
      <w:r w:rsidRPr="003C59BB">
        <w:rPr>
          <w:rFonts w:ascii="Garamond" w:hAnsi="Garamond"/>
          <w:b/>
          <w:bCs/>
        </w:rPr>
        <w:t>feedforward networks</w:t>
      </w:r>
      <w:r w:rsidRPr="003C59BB">
        <w:rPr>
          <w:rFonts w:ascii="Garamond" w:hAnsi="Garamond"/>
        </w:rPr>
        <w:t xml:space="preserve"> organized in layers:</w:t>
      </w:r>
    </w:p>
    <w:p w14:paraId="3E039158" w14:textId="77777777" w:rsidR="003C59BB" w:rsidRPr="003C59BB" w:rsidRDefault="003C59BB" w:rsidP="003C59BB">
      <w:pPr>
        <w:numPr>
          <w:ilvl w:val="0"/>
          <w:numId w:val="1"/>
        </w:numPr>
        <w:rPr>
          <w:rFonts w:ascii="Garamond" w:hAnsi="Garamond"/>
        </w:rPr>
      </w:pPr>
      <w:r w:rsidRPr="003C59BB">
        <w:rPr>
          <w:rFonts w:ascii="Garamond" w:hAnsi="Garamond"/>
        </w:rPr>
        <w:t xml:space="preserve">An </w:t>
      </w:r>
      <w:r w:rsidRPr="003C59BB">
        <w:rPr>
          <w:rFonts w:ascii="Garamond" w:hAnsi="Garamond"/>
          <w:b/>
          <w:bCs/>
        </w:rPr>
        <w:t>input layer</w:t>
      </w:r>
      <w:r w:rsidRPr="003C59BB">
        <w:rPr>
          <w:rFonts w:ascii="Garamond" w:hAnsi="Garamond"/>
        </w:rPr>
        <w:t xml:space="preserve"> receiving raw data</w:t>
      </w:r>
    </w:p>
    <w:p w14:paraId="29EBA979" w14:textId="77777777" w:rsidR="003C59BB" w:rsidRPr="003C59BB" w:rsidRDefault="003C59BB" w:rsidP="003C59BB">
      <w:pPr>
        <w:numPr>
          <w:ilvl w:val="0"/>
          <w:numId w:val="1"/>
        </w:numPr>
        <w:rPr>
          <w:rFonts w:ascii="Garamond" w:hAnsi="Garamond"/>
        </w:rPr>
      </w:pPr>
      <w:r w:rsidRPr="003C59BB">
        <w:rPr>
          <w:rFonts w:ascii="Garamond" w:hAnsi="Garamond"/>
        </w:rPr>
        <w:t xml:space="preserve">One or more </w:t>
      </w:r>
      <w:r w:rsidRPr="003C59BB">
        <w:rPr>
          <w:rFonts w:ascii="Garamond" w:hAnsi="Garamond"/>
          <w:b/>
          <w:bCs/>
        </w:rPr>
        <w:t>hidden layers</w:t>
      </w:r>
      <w:r w:rsidRPr="003C59BB">
        <w:rPr>
          <w:rFonts w:ascii="Garamond" w:hAnsi="Garamond"/>
        </w:rPr>
        <w:t xml:space="preserve"> of units</w:t>
      </w:r>
    </w:p>
    <w:p w14:paraId="50D14BE4" w14:textId="77777777" w:rsidR="003C59BB" w:rsidRPr="003C59BB" w:rsidRDefault="003C59BB" w:rsidP="003C59BB">
      <w:pPr>
        <w:numPr>
          <w:ilvl w:val="0"/>
          <w:numId w:val="1"/>
        </w:numPr>
        <w:rPr>
          <w:rFonts w:ascii="Garamond" w:hAnsi="Garamond"/>
        </w:rPr>
      </w:pPr>
      <w:r w:rsidRPr="003C59BB">
        <w:rPr>
          <w:rFonts w:ascii="Garamond" w:hAnsi="Garamond"/>
        </w:rPr>
        <w:t xml:space="preserve">An </w:t>
      </w:r>
      <w:r w:rsidRPr="003C59BB">
        <w:rPr>
          <w:rFonts w:ascii="Garamond" w:hAnsi="Garamond"/>
          <w:b/>
          <w:bCs/>
        </w:rPr>
        <w:t>output layer</w:t>
      </w:r>
      <w:r w:rsidRPr="003C59BB">
        <w:rPr>
          <w:rFonts w:ascii="Garamond" w:hAnsi="Garamond"/>
        </w:rPr>
        <w:t xml:space="preserve"> producing predictions</w:t>
      </w:r>
    </w:p>
    <w:p w14:paraId="085947DE" w14:textId="77777777" w:rsidR="003C59BB" w:rsidRPr="003C59BB" w:rsidRDefault="003C59BB" w:rsidP="003C59BB">
      <w:pPr>
        <w:rPr>
          <w:rFonts w:ascii="Garamond" w:hAnsi="Garamond"/>
        </w:rPr>
      </w:pPr>
      <w:r w:rsidRPr="003C59BB">
        <w:rPr>
          <w:rFonts w:ascii="Garamond" w:hAnsi="Garamond"/>
        </w:rPr>
        <w:t xml:space="preserve">Each unit computes a </w:t>
      </w:r>
      <w:r w:rsidRPr="003C59BB">
        <w:rPr>
          <w:rFonts w:ascii="Garamond" w:hAnsi="Garamond"/>
          <w:b/>
          <w:bCs/>
        </w:rPr>
        <w:t>weighted sum of its inputs</w:t>
      </w:r>
      <w:r w:rsidRPr="003C59BB">
        <w:rPr>
          <w:rFonts w:ascii="Garamond" w:hAnsi="Garamond"/>
        </w:rPr>
        <w:t xml:space="preserve"> and passes it through a nonlinear </w:t>
      </w:r>
      <w:r w:rsidRPr="003C59BB">
        <w:rPr>
          <w:rFonts w:ascii="Garamond" w:hAnsi="Garamond"/>
          <w:b/>
          <w:bCs/>
        </w:rPr>
        <w:t>activation function</w:t>
      </w:r>
      <w:r w:rsidRPr="003C59BB">
        <w:rPr>
          <w:rFonts w:ascii="Garamond" w:hAnsi="Garamond"/>
        </w:rPr>
        <w:t xml:space="preserve"> — critically, they used the </w:t>
      </w:r>
      <w:r w:rsidRPr="003C59BB">
        <w:rPr>
          <w:rFonts w:ascii="Garamond" w:hAnsi="Garamond"/>
          <w:b/>
          <w:bCs/>
        </w:rPr>
        <w:t>logistic (sigmoid) function</w:t>
      </w:r>
      <w:r w:rsidRPr="003C59BB">
        <w:rPr>
          <w:rFonts w:ascii="Garamond" w:hAnsi="Garamond"/>
        </w:rPr>
        <w:t>:</w:t>
      </w:r>
    </w:p>
    <w:p w14:paraId="6426C18C" w14:textId="1C15C467" w:rsidR="003C59BB" w:rsidRPr="003C59BB" w:rsidRDefault="00000000" w:rsidP="003C59BB">
      <w:pPr>
        <w:rPr>
          <w:rFonts w:ascii="Garamond" w:hAnsi="Garamond"/>
        </w:rPr>
      </w:pPr>
      <m:oMathPara>
        <m:oMath>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m:rPr>
                          <m:nor/>
                        </m:rPr>
                        <w:rPr>
                          <w:rFonts w:ascii="Garamond" w:hAnsi="Garamond"/>
                        </w:rPr>
                        <m:t>net</m:t>
                      </m:r>
                    </m:e>
                    <m:sub>
                      <m:r>
                        <w:rPr>
                          <w:rFonts w:ascii="Cambria Math" w:hAnsi="Cambria Math"/>
                        </w:rPr>
                        <m:t>j</m:t>
                      </m:r>
                    </m:sub>
                  </m:sSub>
                </m:sup>
              </m:sSup>
            </m:den>
          </m:f>
          <m:r>
            <w:rPr>
              <w:rFonts w:ascii="Cambria Math" w:hAnsi="Cambria Math"/>
            </w:rPr>
            <m:t>,</m:t>
          </m:r>
          <m:r>
            <m:rPr>
              <m:nor/>
            </m:rPr>
            <w:rPr>
              <w:rFonts w:ascii="Garamond" w:hAnsi="Garamond"/>
            </w:rPr>
            <m:t>where </m:t>
          </m:r>
          <m:sSub>
            <m:sSubPr>
              <m:ctrlPr>
                <w:rPr>
                  <w:rFonts w:ascii="Cambria Math" w:hAnsi="Cambria Math"/>
                </w:rPr>
              </m:ctrlPr>
            </m:sSubPr>
            <m:e>
              <m:r>
                <m:rPr>
                  <m:nor/>
                </m:rPr>
                <w:rPr>
                  <w:rFonts w:ascii="Garamond" w:hAnsi="Garamond"/>
                </w:rPr>
                <m:t>net</m:t>
              </m:r>
            </m:e>
            <m:sub>
              <m:r>
                <w:rPr>
                  <w:rFonts w:ascii="Cambria Math" w:hAnsi="Cambria Math"/>
                </w:rPr>
                <m:t>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ji</m:t>
                  </m:r>
                </m:sub>
              </m:sSub>
            </m:e>
          </m:nary>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Garamond" w:hAnsi="Garamond"/>
            </w:rPr>
            <w:br/>
          </m:r>
        </m:oMath>
      </m:oMathPara>
    </w:p>
    <w:p w14:paraId="3DDC1703" w14:textId="77777777" w:rsidR="003C59BB" w:rsidRPr="003C59BB" w:rsidRDefault="003C59BB" w:rsidP="003C59BB">
      <w:pPr>
        <w:rPr>
          <w:rFonts w:ascii="Garamond" w:hAnsi="Garamond"/>
        </w:rPr>
      </w:pPr>
      <w:r w:rsidRPr="003C59BB">
        <w:rPr>
          <w:rFonts w:ascii="Garamond" w:hAnsi="Garamond"/>
        </w:rPr>
        <w:t xml:space="preserve">The sigmoid was essential because it is </w:t>
      </w:r>
      <w:r w:rsidRPr="003C59BB">
        <w:rPr>
          <w:rFonts w:ascii="Garamond" w:hAnsi="Garamond"/>
          <w:b/>
          <w:bCs/>
        </w:rPr>
        <w:t>smooth and differentiable everywhere</w:t>
      </w:r>
      <w:r w:rsidRPr="003C59BB">
        <w:rPr>
          <w:rFonts w:ascii="Garamond" w:hAnsi="Garamond"/>
        </w:rPr>
        <w:t>, which makes the calculus of learning possible.</w:t>
      </w:r>
    </w:p>
    <w:p w14:paraId="3F6BB14C" w14:textId="77777777" w:rsidR="003C59BB" w:rsidRPr="003C59BB" w:rsidRDefault="00E02CC8" w:rsidP="003C59BB">
      <w:pPr>
        <w:rPr>
          <w:rFonts w:ascii="Garamond" w:hAnsi="Garamond"/>
        </w:rPr>
      </w:pPr>
      <w:r>
        <w:rPr>
          <w:rFonts w:ascii="Garamond" w:hAnsi="Garamond"/>
          <w:noProof/>
        </w:rPr>
        <w:pict w14:anchorId="1984AA1E">
          <v:rect id="_x0000_i1029" alt="" style="width:468pt;height:.05pt;mso-width-percent:0;mso-height-percent:0;mso-width-percent:0;mso-height-percent:0" o:hralign="center" o:hrstd="t" o:hr="t" fillcolor="#a0a0a0" stroked="f"/>
        </w:pict>
      </w:r>
    </w:p>
    <w:p w14:paraId="217D76F8" w14:textId="77777777" w:rsidR="003C59BB" w:rsidRPr="003C59BB" w:rsidRDefault="003C59BB" w:rsidP="003C59BB">
      <w:pPr>
        <w:rPr>
          <w:rFonts w:ascii="Garamond" w:hAnsi="Garamond"/>
          <w:b/>
          <w:bCs/>
        </w:rPr>
      </w:pPr>
      <w:r w:rsidRPr="003C59BB">
        <w:rPr>
          <w:rFonts w:ascii="Garamond" w:hAnsi="Garamond"/>
          <w:b/>
          <w:bCs/>
        </w:rPr>
        <w:t>The Objective</w:t>
      </w:r>
    </w:p>
    <w:p w14:paraId="6549D112" w14:textId="0D4608F9" w:rsidR="003C59BB" w:rsidRPr="003C59BB" w:rsidRDefault="003C59BB" w:rsidP="003C59BB">
      <w:pPr>
        <w:rPr>
          <w:rFonts w:ascii="Garamond" w:hAnsi="Garamond"/>
        </w:rPr>
      </w:pPr>
      <w:r w:rsidRPr="003C59BB">
        <w:rPr>
          <w:rFonts w:ascii="Garamond" w:hAnsi="Garamond"/>
        </w:rPr>
        <w:t xml:space="preserve">Define a scalar </w:t>
      </w:r>
      <w:r w:rsidRPr="003C59BB">
        <w:rPr>
          <w:rFonts w:ascii="Garamond" w:hAnsi="Garamond"/>
          <w:b/>
          <w:bCs/>
        </w:rPr>
        <w:t>error (loss) function</w:t>
      </w:r>
      <w:r w:rsidRPr="003C59BB">
        <w:rPr>
          <w:rFonts w:ascii="Garamond" w:hAnsi="Garamond"/>
        </w:rPr>
        <w:t xml:space="preserve"> over the training set. For a single training example with target output </w:t>
      </w:r>
      <m:oMath>
        <m:sSub>
          <m:sSubPr>
            <m:ctrlPr>
              <w:rPr>
                <w:rFonts w:ascii="Cambria Math" w:hAnsi="Cambria Math"/>
              </w:rPr>
            </m:ctrlPr>
          </m:sSubPr>
          <m:e>
            <m:r>
              <w:rPr>
                <w:rFonts w:ascii="Cambria Math" w:hAnsi="Cambria Math"/>
              </w:rPr>
              <m:t>t</m:t>
            </m:r>
          </m:e>
          <m:sub>
            <m:r>
              <w:rPr>
                <w:rFonts w:ascii="Cambria Math" w:hAnsi="Cambria Math"/>
              </w:rPr>
              <m:t>k</m:t>
            </m:r>
          </m:sub>
        </m:sSub>
      </m:oMath>
      <w:r w:rsidRPr="003C59BB">
        <w:rPr>
          <w:rFonts w:ascii="Garamond" w:hAnsi="Garamond"/>
        </w:rPr>
        <w:t xml:space="preserve">and actual output </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Pr="003C59BB">
        <w:rPr>
          <w:rFonts w:ascii="Garamond" w:hAnsi="Garamond"/>
        </w:rPr>
        <w:t>:</w:t>
      </w:r>
    </w:p>
    <w:p w14:paraId="5BE69C98" w14:textId="270BF4F8" w:rsidR="003C59BB" w:rsidRPr="003C59BB" w:rsidRDefault="003C59BB" w:rsidP="003C59BB">
      <w:pPr>
        <w:rPr>
          <w:rFonts w:ascii="Garamond" w:hAnsi="Garamond"/>
        </w:rPr>
      </w:pPr>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k</m:t>
              </m:r>
            </m:sub>
            <m:sup/>
            <m:e>
              <m:r>
                <w:rPr>
                  <w:rFonts w:ascii="Cambria Math" w:hAnsi="Cambria Math"/>
                </w:rPr>
                <m:t>(</m:t>
              </m:r>
            </m:e>
          </m:nary>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Garamond" w:hAnsi="Garamond"/>
            </w:rPr>
            <w:br/>
          </m:r>
        </m:oMath>
      </m:oMathPara>
    </w:p>
    <w:p w14:paraId="39125321" w14:textId="2BD24DD5" w:rsidR="003C59BB" w:rsidRPr="003C59BB" w:rsidRDefault="003C59BB" w:rsidP="003C59BB">
      <w:pPr>
        <w:rPr>
          <w:rFonts w:ascii="Garamond" w:hAnsi="Garamond"/>
        </w:rPr>
      </w:pPr>
      <w:r w:rsidRPr="003C59BB">
        <w:rPr>
          <w:rFonts w:ascii="Garamond" w:hAnsi="Garamond"/>
        </w:rPr>
        <w:t xml:space="preserve">The goal is to minimize </w:t>
      </w:r>
      <m:oMath>
        <m:r>
          <w:rPr>
            <w:rFonts w:ascii="Cambria Math" w:hAnsi="Cambria Math"/>
          </w:rPr>
          <m:t>E</m:t>
        </m:r>
      </m:oMath>
      <w:r w:rsidRPr="003C59BB">
        <w:rPr>
          <w:rFonts w:ascii="Garamond" w:hAnsi="Garamond"/>
        </w:rPr>
        <w:t xml:space="preserve">with respect to all the weights </w:t>
      </w:r>
      <m:oMath>
        <m:r>
          <w:rPr>
            <w:rFonts w:ascii="Cambria Math" w:hAnsi="Cambria Math"/>
          </w:rPr>
          <m:t>w</m:t>
        </m:r>
      </m:oMath>
      <w:r w:rsidRPr="003C59BB">
        <w:rPr>
          <w:rFonts w:ascii="Garamond" w:hAnsi="Garamond"/>
        </w:rPr>
        <w:t xml:space="preserve">in the network by </w:t>
      </w:r>
      <w:r w:rsidRPr="003C59BB">
        <w:rPr>
          <w:rFonts w:ascii="Garamond" w:hAnsi="Garamond"/>
          <w:b/>
          <w:bCs/>
        </w:rPr>
        <w:t>gradient descent</w:t>
      </w:r>
      <w:r w:rsidRPr="003C59BB">
        <w:rPr>
          <w:rFonts w:ascii="Garamond" w:hAnsi="Garamond"/>
        </w:rPr>
        <w:t>:</w:t>
      </w:r>
    </w:p>
    <w:p w14:paraId="0F0BDFA6" w14:textId="030F2353" w:rsidR="003C59BB" w:rsidRPr="003C59BB" w:rsidRDefault="003C59BB" w:rsidP="003C59BB">
      <w:pPr>
        <w:rPr>
          <w:rFonts w:ascii="Garamond" w:hAnsi="Garamond"/>
        </w:rPr>
      </w:pPr>
      <m:oMathPara>
        <m:oMath>
          <m:r>
            <m:rPr>
              <m:sty m:val="p"/>
            </m:rPr>
            <w:rPr>
              <w:rFonts w:ascii="Cambria Math" w:hAnsi="Cambria Math"/>
            </w:rPr>
            <w:lastRenderedPageBreak/>
            <m:t>Δ</m:t>
          </m:r>
          <m:sSub>
            <m:sSubPr>
              <m:ctrlPr>
                <w:rPr>
                  <w:rFonts w:ascii="Cambria Math" w:hAnsi="Cambria Math"/>
                </w:rPr>
              </m:ctrlPr>
            </m:sSubPr>
            <m:e>
              <m:r>
                <w:rPr>
                  <w:rFonts w:ascii="Cambria Math" w:hAnsi="Cambria Math"/>
                </w:rPr>
                <m:t>w</m:t>
              </m:r>
            </m:e>
            <m:sub>
              <m:r>
                <w:rPr>
                  <w:rFonts w:ascii="Cambria Math" w:hAnsi="Cambria Math"/>
                </w:rPr>
                <m:t>ji</m:t>
              </m:r>
            </m:sub>
          </m:sSub>
          <m:r>
            <w:rPr>
              <w:rFonts w:ascii="Cambria Math" w:hAnsi="Cambria Math"/>
            </w:rPr>
            <m:t>=-η</m:t>
          </m:r>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ji</m:t>
                  </m:r>
                </m:sub>
              </m:sSub>
            </m:den>
          </m:f>
          <m:r>
            <m:rPr>
              <m:sty m:val="p"/>
            </m:rPr>
            <w:rPr>
              <w:rFonts w:ascii="Garamond" w:hAnsi="Garamond"/>
            </w:rPr>
            <w:br/>
          </m:r>
        </m:oMath>
      </m:oMathPara>
    </w:p>
    <w:p w14:paraId="558FA1CB" w14:textId="1C1D5035" w:rsidR="003C59BB" w:rsidRPr="003C59BB" w:rsidRDefault="003C59BB" w:rsidP="003C59BB">
      <w:pPr>
        <w:rPr>
          <w:rFonts w:ascii="Garamond" w:hAnsi="Garamond"/>
        </w:rPr>
      </w:pPr>
      <w:r w:rsidRPr="003C59BB">
        <w:rPr>
          <w:rFonts w:ascii="Garamond" w:hAnsi="Garamond"/>
        </w:rPr>
        <w:t xml:space="preserve">where </w:t>
      </w:r>
      <m:oMath>
        <m:r>
          <w:rPr>
            <w:rFonts w:ascii="Cambria Math" w:hAnsi="Cambria Math"/>
          </w:rPr>
          <m:t>η</m:t>
        </m:r>
      </m:oMath>
      <w:r w:rsidRPr="003C59BB">
        <w:rPr>
          <w:rFonts w:ascii="Garamond" w:hAnsi="Garamond"/>
        </w:rPr>
        <w:t xml:space="preserve">is the learning rate. The problem reduces to computing </w:t>
      </w:r>
      <m:oMath>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ji</m:t>
                </m:r>
              </m:sub>
            </m:sSub>
          </m:den>
        </m:f>
      </m:oMath>
      <w:r w:rsidRPr="003C59BB">
        <w:rPr>
          <w:rFonts w:ascii="Garamond" w:hAnsi="Garamond"/>
        </w:rPr>
        <w:t>for every weight in the network, including those far from the output.</w:t>
      </w:r>
    </w:p>
    <w:p w14:paraId="023ED552" w14:textId="77777777" w:rsidR="003C59BB" w:rsidRPr="003C59BB" w:rsidRDefault="00E02CC8" w:rsidP="003C59BB">
      <w:pPr>
        <w:rPr>
          <w:rFonts w:ascii="Garamond" w:hAnsi="Garamond"/>
        </w:rPr>
      </w:pPr>
      <w:r>
        <w:rPr>
          <w:rFonts w:ascii="Garamond" w:hAnsi="Garamond"/>
          <w:noProof/>
        </w:rPr>
        <w:pict w14:anchorId="29401CE2">
          <v:rect id="_x0000_i1028" alt="" style="width:468pt;height:.05pt;mso-width-percent:0;mso-height-percent:0;mso-width-percent:0;mso-height-percent:0" o:hralign="center" o:hrstd="t" o:hr="t" fillcolor="#a0a0a0" stroked="f"/>
        </w:pict>
      </w:r>
    </w:p>
    <w:p w14:paraId="3F8A65D5" w14:textId="77777777" w:rsidR="003C59BB" w:rsidRPr="003C59BB" w:rsidRDefault="003C59BB" w:rsidP="003C59BB">
      <w:pPr>
        <w:rPr>
          <w:rFonts w:ascii="Garamond" w:hAnsi="Garamond"/>
          <w:b/>
          <w:bCs/>
        </w:rPr>
      </w:pPr>
      <w:r w:rsidRPr="003C59BB">
        <w:rPr>
          <w:rFonts w:ascii="Garamond" w:hAnsi="Garamond"/>
          <w:b/>
          <w:bCs/>
        </w:rPr>
        <w:t>The Key Insight: The Chain Rule Applied Recursively</w:t>
      </w:r>
    </w:p>
    <w:p w14:paraId="3B717B51" w14:textId="77777777" w:rsidR="003C59BB" w:rsidRPr="003C59BB" w:rsidRDefault="003C59BB" w:rsidP="003C59BB">
      <w:pPr>
        <w:rPr>
          <w:rFonts w:ascii="Garamond" w:hAnsi="Garamond"/>
        </w:rPr>
      </w:pPr>
      <w:r w:rsidRPr="003C59BB">
        <w:rPr>
          <w:rFonts w:ascii="Garamond" w:hAnsi="Garamond"/>
        </w:rPr>
        <w:t xml:space="preserve">The paper's central contribution is showing how to compute these gradients </w:t>
      </w:r>
      <w:r w:rsidRPr="003C59BB">
        <w:rPr>
          <w:rFonts w:ascii="Garamond" w:hAnsi="Garamond"/>
          <w:b/>
          <w:bCs/>
        </w:rPr>
        <w:t>efficiently and exactly</w:t>
      </w:r>
      <w:r w:rsidRPr="003C59BB">
        <w:rPr>
          <w:rFonts w:ascii="Garamond" w:hAnsi="Garamond"/>
        </w:rPr>
        <w:t xml:space="preserve"> using the </w:t>
      </w:r>
      <w:r w:rsidRPr="003C59BB">
        <w:rPr>
          <w:rFonts w:ascii="Garamond" w:hAnsi="Garamond"/>
          <w:b/>
          <w:bCs/>
        </w:rPr>
        <w:t>chain rule of calculus</w:t>
      </w:r>
      <w:r w:rsidRPr="003C59BB">
        <w:rPr>
          <w:rFonts w:ascii="Garamond" w:hAnsi="Garamond"/>
        </w:rPr>
        <w:t xml:space="preserve">, propagated </w:t>
      </w:r>
      <w:r w:rsidRPr="003C59BB">
        <w:rPr>
          <w:rFonts w:ascii="Garamond" w:hAnsi="Garamond"/>
          <w:i/>
          <w:iCs/>
        </w:rPr>
        <w:t>backwards</w:t>
      </w:r>
      <w:r w:rsidRPr="003C59BB">
        <w:rPr>
          <w:rFonts w:ascii="Garamond" w:hAnsi="Garamond"/>
        </w:rPr>
        <w:t xml:space="preserve"> through the network.</w:t>
      </w:r>
    </w:p>
    <w:p w14:paraId="0B94A23A" w14:textId="77777777" w:rsidR="003C59BB" w:rsidRPr="003C59BB" w:rsidRDefault="003C59BB" w:rsidP="003C59BB">
      <w:pPr>
        <w:rPr>
          <w:rFonts w:ascii="Garamond" w:hAnsi="Garamond"/>
        </w:rPr>
      </w:pPr>
      <w:r w:rsidRPr="003C59BB">
        <w:rPr>
          <w:rFonts w:ascii="Garamond" w:hAnsi="Garamond"/>
          <w:b/>
          <w:bCs/>
        </w:rPr>
        <w:t>Step 1 — Forward pass.</w:t>
      </w:r>
      <w:r w:rsidRPr="003C59BB">
        <w:rPr>
          <w:rFonts w:ascii="Garamond" w:hAnsi="Garamond"/>
        </w:rPr>
        <w:t xml:space="preserve"> Present an input, compute activations layer by layer forward to the output.</w:t>
      </w:r>
    </w:p>
    <w:p w14:paraId="60204FB4" w14:textId="6D360C03" w:rsidR="003C59BB" w:rsidRPr="003C59BB" w:rsidRDefault="003C59BB" w:rsidP="003C59BB">
      <w:pPr>
        <w:rPr>
          <w:rFonts w:ascii="Garamond" w:hAnsi="Garamond"/>
        </w:rPr>
      </w:pPr>
      <w:r w:rsidRPr="003C59BB">
        <w:rPr>
          <w:rFonts w:ascii="Garamond" w:hAnsi="Garamond"/>
          <w:b/>
          <w:bCs/>
        </w:rPr>
        <w:t>Step 2 — Compute output error signal.</w:t>
      </w:r>
      <w:r w:rsidRPr="003C59BB">
        <w:rPr>
          <w:rFonts w:ascii="Garamond" w:hAnsi="Garamond"/>
        </w:rPr>
        <w:t xml:space="preserve"> At each output unit </w:t>
      </w:r>
      <m:oMath>
        <m:r>
          <w:rPr>
            <w:rFonts w:ascii="Cambria Math" w:hAnsi="Cambria Math"/>
          </w:rPr>
          <m:t>k</m:t>
        </m:r>
      </m:oMath>
      <w:r w:rsidRPr="003C59BB">
        <w:rPr>
          <w:rFonts w:ascii="Garamond" w:hAnsi="Garamond"/>
        </w:rPr>
        <w:t>, compute:</w:t>
      </w:r>
    </w:p>
    <w:p w14:paraId="529E94EA" w14:textId="4B484389" w:rsidR="003C59BB" w:rsidRPr="003C59BB" w:rsidRDefault="00000000" w:rsidP="003C59BB">
      <w:pPr>
        <w:rPr>
          <w:rFonts w:ascii="Garamond" w:hAnsi="Garamond"/>
        </w:rPr>
      </w:pPr>
      <m:oMathPara>
        <m:oMath>
          <m:sSub>
            <m:sSubPr>
              <m:ctrlPr>
                <w:rPr>
                  <w:rFonts w:ascii="Cambria Math" w:hAnsi="Cambria Math"/>
                </w:rPr>
              </m:ctrlPr>
            </m:sSubPr>
            <m:e>
              <m:r>
                <w:rPr>
                  <w:rFonts w:ascii="Cambria Math" w:hAnsi="Cambria Math"/>
                </w:rPr>
                <m:t>δ</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r>
            <w:rPr>
              <w:rFonts w:ascii="Garamond" w:hAnsi="Garamond"/>
            </w:rPr>
            <w:br/>
          </m:r>
        </m:oMath>
      </m:oMathPara>
    </w:p>
    <w:p w14:paraId="28C3BDC2" w14:textId="4542D2BB" w:rsidR="003C59BB" w:rsidRPr="003C59BB" w:rsidRDefault="003C59BB" w:rsidP="003C59BB">
      <w:pPr>
        <w:rPr>
          <w:rFonts w:ascii="Garamond" w:hAnsi="Garamond"/>
        </w:rPr>
      </w:pPr>
      <w:r w:rsidRPr="003C59BB">
        <w:rPr>
          <w:rFonts w:ascii="Garamond" w:hAnsi="Garamond"/>
        </w:rPr>
        <w:t xml:space="preserve">The term </w:t>
      </w:r>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oMath>
      <w:r w:rsidRPr="003C59BB">
        <w:rPr>
          <w:rFonts w:ascii="Garamond" w:hAnsi="Garamond"/>
        </w:rPr>
        <w:t xml:space="preserve">is the </w:t>
      </w:r>
      <w:r w:rsidRPr="003C59BB">
        <w:rPr>
          <w:rFonts w:ascii="Garamond" w:hAnsi="Garamond"/>
          <w:b/>
          <w:bCs/>
        </w:rPr>
        <w:t>derivative of the sigmoid</w:t>
      </w:r>
      <w:r w:rsidRPr="003C59BB">
        <w:rPr>
          <w:rFonts w:ascii="Garamond" w:hAnsi="Garamond"/>
        </w:rPr>
        <w:t>, reflecting how sensitive the output is to changes in its net input.</w:t>
      </w:r>
    </w:p>
    <w:p w14:paraId="785392C4" w14:textId="6774A72A" w:rsidR="003C59BB" w:rsidRPr="003C59BB" w:rsidRDefault="003C59BB" w:rsidP="003C59BB">
      <w:pPr>
        <w:rPr>
          <w:rFonts w:ascii="Garamond" w:hAnsi="Garamond"/>
        </w:rPr>
      </w:pPr>
      <w:r w:rsidRPr="003C59BB">
        <w:rPr>
          <w:rFonts w:ascii="Garamond" w:hAnsi="Garamond"/>
        </w:rPr>
        <w:t xml:space="preserve">**Step 3 — Propagate </w:t>
      </w:r>
      <m:oMath>
        <m:r>
          <w:rPr>
            <w:rFonts w:ascii="Cambria Math" w:hAnsi="Cambria Math"/>
          </w:rPr>
          <m:t>δ</m:t>
        </m:r>
      </m:oMath>
      <w:r w:rsidRPr="003C59BB">
        <w:rPr>
          <w:rFonts w:ascii="Garamond" w:hAnsi="Garamond"/>
        </w:rPr>
        <w:t xml:space="preserve">backwards.** For a hidden unit </w:t>
      </w:r>
      <m:oMath>
        <m:r>
          <w:rPr>
            <w:rFonts w:ascii="Cambria Math" w:hAnsi="Cambria Math"/>
          </w:rPr>
          <m:t>j</m:t>
        </m:r>
      </m:oMath>
      <w:r w:rsidRPr="003C59BB">
        <w:rPr>
          <w:rFonts w:ascii="Garamond" w:hAnsi="Garamond"/>
        </w:rPr>
        <w:t xml:space="preserve">, there is no target, so the error signal must be *inferred* from the </w:t>
      </w:r>
      <m:oMath>
        <m:r>
          <w:rPr>
            <w:rFonts w:ascii="Cambria Math" w:hAnsi="Cambria Math"/>
          </w:rPr>
          <m:t>δ</m:t>
        </m:r>
      </m:oMath>
      <w:r w:rsidRPr="003C59BB">
        <w:rPr>
          <w:rFonts w:ascii="Garamond" w:hAnsi="Garamond"/>
        </w:rPr>
        <w:t>'s of the units it feeds into:</w:t>
      </w:r>
    </w:p>
    <w:p w14:paraId="39325A7F" w14:textId="3A4AD1EB" w:rsidR="003C59BB" w:rsidRPr="003C59BB" w:rsidRDefault="00000000" w:rsidP="003C59BB">
      <w:pPr>
        <w:rPr>
          <w:rFonts w:ascii="Garamond" w:hAnsi="Garamond"/>
        </w:rPr>
      </w:pPr>
      <m:oMathPara>
        <m:oMath>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kj</m:t>
                  </m:r>
                </m:sub>
              </m:sSub>
            </m:e>
          </m:nary>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Garamond" w:hAnsi="Garamond"/>
            </w:rPr>
            <w:br/>
          </m:r>
        </m:oMath>
      </m:oMathPara>
    </w:p>
    <w:p w14:paraId="5BC68630" w14:textId="244A6D38" w:rsidR="003C59BB" w:rsidRPr="003C59BB" w:rsidRDefault="003C59BB" w:rsidP="003C59BB">
      <w:pPr>
        <w:rPr>
          <w:rFonts w:ascii="Garamond" w:hAnsi="Garamond"/>
        </w:rPr>
      </w:pPr>
      <w:r w:rsidRPr="003C59BB">
        <w:rPr>
          <w:rFonts w:ascii="Garamond" w:hAnsi="Garamond"/>
        </w:rPr>
        <w:t xml:space="preserve">This is the </w:t>
      </w:r>
      <w:r w:rsidRPr="003C59BB">
        <w:rPr>
          <w:rFonts w:ascii="Garamond" w:hAnsi="Garamond"/>
          <w:b/>
          <w:bCs/>
        </w:rPr>
        <w:t>backpropagation equation proper</w:t>
      </w:r>
      <w:r w:rsidRPr="003C59BB">
        <w:rPr>
          <w:rFonts w:ascii="Garamond" w:hAnsi="Garamond"/>
        </w:rPr>
        <w:t xml:space="preserve">: the error signal at unit </w:t>
      </w:r>
      <m:oMath>
        <m:r>
          <w:rPr>
            <w:rFonts w:ascii="Cambria Math" w:hAnsi="Cambria Math"/>
          </w:rPr>
          <m:t>j</m:t>
        </m:r>
      </m:oMath>
      <w:r w:rsidRPr="003C59BB">
        <w:rPr>
          <w:rFonts w:ascii="Garamond" w:hAnsi="Garamond"/>
        </w:rPr>
        <w:t xml:space="preserve">is a weighted sum of the error signals one layer forward, weighted by the connections leaving </w:t>
      </w:r>
      <m:oMath>
        <m:r>
          <w:rPr>
            <w:rFonts w:ascii="Cambria Math" w:hAnsi="Cambria Math"/>
          </w:rPr>
          <m:t>j</m:t>
        </m:r>
      </m:oMath>
      <w:r w:rsidRPr="003C59BB">
        <w:rPr>
          <w:rFonts w:ascii="Garamond" w:hAnsi="Garamond"/>
        </w:rPr>
        <w:t>. This can be applied recursively through as many hidden layers as exist.</w:t>
      </w:r>
    </w:p>
    <w:p w14:paraId="6A16C749" w14:textId="069C2EC4" w:rsidR="003C59BB" w:rsidRPr="003C59BB" w:rsidRDefault="003C59BB" w:rsidP="003C59BB">
      <w:pPr>
        <w:rPr>
          <w:rFonts w:ascii="Garamond" w:hAnsi="Garamond"/>
        </w:rPr>
      </w:pPr>
      <w:r w:rsidRPr="003C59BB">
        <w:rPr>
          <w:rFonts w:ascii="Garamond" w:hAnsi="Garamond"/>
          <w:b/>
          <w:bCs/>
        </w:rPr>
        <w:t>Step 4 — Update weights.</w:t>
      </w:r>
      <w:r w:rsidRPr="003C59BB">
        <w:rPr>
          <w:rFonts w:ascii="Garamond" w:hAnsi="Garamond"/>
        </w:rPr>
        <w:t xml:space="preserve"> Once </w:t>
      </w:r>
      <m:oMath>
        <m:sSub>
          <m:sSubPr>
            <m:ctrlPr>
              <w:rPr>
                <w:rFonts w:ascii="Cambria Math" w:hAnsi="Cambria Math"/>
              </w:rPr>
            </m:ctrlPr>
          </m:sSubPr>
          <m:e>
            <m:r>
              <w:rPr>
                <w:rFonts w:ascii="Cambria Math" w:hAnsi="Cambria Math"/>
              </w:rPr>
              <m:t>δ</m:t>
            </m:r>
          </m:e>
          <m:sub>
            <m:r>
              <w:rPr>
                <w:rFonts w:ascii="Cambria Math" w:hAnsi="Cambria Math"/>
              </w:rPr>
              <m:t>j</m:t>
            </m:r>
          </m:sub>
        </m:sSub>
      </m:oMath>
      <w:r w:rsidRPr="003C59BB">
        <w:rPr>
          <w:rFonts w:ascii="Garamond" w:hAnsi="Garamond"/>
        </w:rPr>
        <w:t>is known for every unit, the weight update is simply:</w:t>
      </w:r>
    </w:p>
    <w:p w14:paraId="06E83249" w14:textId="4E29F5AE" w:rsidR="003C59BB" w:rsidRPr="003C59BB" w:rsidRDefault="003C59BB" w:rsidP="003C59BB">
      <w:pPr>
        <w:rPr>
          <w:rFonts w:ascii="Garamond" w:hAnsi="Garamond"/>
        </w:rPr>
      </w:pPr>
      <m:oMathPara>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ji</m:t>
              </m:r>
            </m:sub>
          </m:sSub>
          <m:r>
            <w:rPr>
              <w:rFonts w:ascii="Cambria Math" w:hAnsi="Cambria Math"/>
            </w:rPr>
            <m:t>=η⋅</m:t>
          </m:r>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Garamond" w:hAnsi="Garamond"/>
            </w:rPr>
            <w:br/>
          </m:r>
        </m:oMath>
      </m:oMathPara>
    </w:p>
    <w:p w14:paraId="14DDCA2D" w14:textId="77777777" w:rsidR="003C59BB" w:rsidRPr="003C59BB" w:rsidRDefault="00E02CC8" w:rsidP="003C59BB">
      <w:pPr>
        <w:rPr>
          <w:rFonts w:ascii="Garamond" w:hAnsi="Garamond"/>
        </w:rPr>
      </w:pPr>
      <w:r>
        <w:rPr>
          <w:rFonts w:ascii="Garamond" w:hAnsi="Garamond"/>
          <w:noProof/>
        </w:rPr>
        <w:pict w14:anchorId="5DF57777">
          <v:rect id="_x0000_i1027" alt="" style="width:468pt;height:.05pt;mso-width-percent:0;mso-height-percent:0;mso-width-percent:0;mso-height-percent:0" o:hralign="center" o:hrstd="t" o:hr="t" fillcolor="#a0a0a0" stroked="f"/>
        </w:pict>
      </w:r>
    </w:p>
    <w:p w14:paraId="27C145DE" w14:textId="77777777" w:rsidR="00D6576D" w:rsidRDefault="00D6576D" w:rsidP="003C59BB">
      <w:pPr>
        <w:rPr>
          <w:rFonts w:ascii="Garamond" w:hAnsi="Garamond"/>
          <w:b/>
          <w:bCs/>
        </w:rPr>
      </w:pPr>
    </w:p>
    <w:p w14:paraId="31C025B8" w14:textId="77777777" w:rsidR="00D6576D" w:rsidRDefault="00D6576D" w:rsidP="003C59BB">
      <w:pPr>
        <w:rPr>
          <w:rFonts w:ascii="Garamond" w:hAnsi="Garamond"/>
          <w:b/>
          <w:bCs/>
        </w:rPr>
      </w:pPr>
    </w:p>
    <w:p w14:paraId="7AB9A609" w14:textId="77777777" w:rsidR="00D6576D" w:rsidRDefault="00D6576D" w:rsidP="003C59BB">
      <w:pPr>
        <w:rPr>
          <w:rFonts w:ascii="Garamond" w:hAnsi="Garamond"/>
          <w:b/>
          <w:bCs/>
        </w:rPr>
      </w:pPr>
    </w:p>
    <w:p w14:paraId="1BA1E7E8" w14:textId="3373C0D6" w:rsidR="003C59BB" w:rsidRPr="003C59BB" w:rsidRDefault="003C59BB" w:rsidP="003C59BB">
      <w:pPr>
        <w:rPr>
          <w:rFonts w:ascii="Garamond" w:hAnsi="Garamond"/>
          <w:b/>
          <w:bCs/>
        </w:rPr>
      </w:pPr>
      <w:r w:rsidRPr="003C59BB">
        <w:rPr>
          <w:rFonts w:ascii="Garamond" w:hAnsi="Garamond"/>
          <w:b/>
          <w:bCs/>
        </w:rPr>
        <w:lastRenderedPageBreak/>
        <w:t>What Made This Algorithm Significant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6676"/>
      </w:tblGrid>
      <w:tr w:rsidR="003C59BB" w:rsidRPr="003C59BB" w14:paraId="3CA02D10" w14:textId="77777777">
        <w:trPr>
          <w:tblHeader/>
          <w:tblCellSpacing w:w="15" w:type="dxa"/>
        </w:trPr>
        <w:tc>
          <w:tcPr>
            <w:tcW w:w="0" w:type="auto"/>
            <w:vAlign w:val="center"/>
            <w:hideMark/>
          </w:tcPr>
          <w:p w14:paraId="2D4A74AB" w14:textId="77777777" w:rsidR="003C59BB" w:rsidRPr="003C59BB" w:rsidRDefault="003C59BB" w:rsidP="003C59BB">
            <w:pPr>
              <w:rPr>
                <w:rFonts w:ascii="Garamond" w:hAnsi="Garamond"/>
                <w:b/>
                <w:bCs/>
              </w:rPr>
            </w:pPr>
            <w:r w:rsidRPr="003C59BB">
              <w:rPr>
                <w:rFonts w:ascii="Garamond" w:hAnsi="Garamond"/>
                <w:b/>
                <w:bCs/>
              </w:rPr>
              <w:t>Feature</w:t>
            </w:r>
          </w:p>
        </w:tc>
        <w:tc>
          <w:tcPr>
            <w:tcW w:w="0" w:type="auto"/>
            <w:vAlign w:val="center"/>
            <w:hideMark/>
          </w:tcPr>
          <w:p w14:paraId="1C6A7F3E" w14:textId="77777777" w:rsidR="003C59BB" w:rsidRPr="003C59BB" w:rsidRDefault="003C59BB" w:rsidP="003C59BB">
            <w:pPr>
              <w:rPr>
                <w:rFonts w:ascii="Garamond" w:hAnsi="Garamond"/>
                <w:b/>
                <w:bCs/>
              </w:rPr>
            </w:pPr>
            <w:r w:rsidRPr="003C59BB">
              <w:rPr>
                <w:rFonts w:ascii="Garamond" w:hAnsi="Garamond"/>
                <w:b/>
                <w:bCs/>
              </w:rPr>
              <w:t>Significance</w:t>
            </w:r>
          </w:p>
        </w:tc>
      </w:tr>
      <w:tr w:rsidR="003C59BB" w:rsidRPr="003C59BB" w14:paraId="6514513E" w14:textId="77777777">
        <w:trPr>
          <w:tblCellSpacing w:w="15" w:type="dxa"/>
        </w:trPr>
        <w:tc>
          <w:tcPr>
            <w:tcW w:w="0" w:type="auto"/>
            <w:vAlign w:val="center"/>
            <w:hideMark/>
          </w:tcPr>
          <w:p w14:paraId="67ED99D9" w14:textId="77777777" w:rsidR="003C59BB" w:rsidRPr="003C59BB" w:rsidRDefault="003C59BB" w:rsidP="003C59BB">
            <w:pPr>
              <w:rPr>
                <w:rFonts w:ascii="Garamond" w:hAnsi="Garamond"/>
              </w:rPr>
            </w:pPr>
            <w:r w:rsidRPr="003C59BB">
              <w:rPr>
                <w:rFonts w:ascii="Garamond" w:hAnsi="Garamond"/>
                <w:b/>
                <w:bCs/>
              </w:rPr>
              <w:t>Exact gradients</w:t>
            </w:r>
          </w:p>
        </w:tc>
        <w:tc>
          <w:tcPr>
            <w:tcW w:w="0" w:type="auto"/>
            <w:vAlign w:val="center"/>
            <w:hideMark/>
          </w:tcPr>
          <w:p w14:paraId="21340E46" w14:textId="77777777" w:rsidR="003C59BB" w:rsidRPr="003C59BB" w:rsidRDefault="003C59BB" w:rsidP="003C59BB">
            <w:pPr>
              <w:rPr>
                <w:rFonts w:ascii="Garamond" w:hAnsi="Garamond"/>
              </w:rPr>
            </w:pPr>
            <w:r w:rsidRPr="003C59BB">
              <w:rPr>
                <w:rFonts w:ascii="Garamond" w:hAnsi="Garamond"/>
              </w:rPr>
              <w:t>Not an approximation — the updates follow the true gradient of the error surface</w:t>
            </w:r>
          </w:p>
        </w:tc>
      </w:tr>
      <w:tr w:rsidR="003C59BB" w:rsidRPr="003C59BB" w14:paraId="3F531A1D" w14:textId="77777777">
        <w:trPr>
          <w:tblCellSpacing w:w="15" w:type="dxa"/>
        </w:trPr>
        <w:tc>
          <w:tcPr>
            <w:tcW w:w="0" w:type="auto"/>
            <w:vAlign w:val="center"/>
            <w:hideMark/>
          </w:tcPr>
          <w:p w14:paraId="577DB21B" w14:textId="77777777" w:rsidR="003C59BB" w:rsidRPr="003C59BB" w:rsidRDefault="003C59BB" w:rsidP="003C59BB">
            <w:pPr>
              <w:rPr>
                <w:rFonts w:ascii="Garamond" w:hAnsi="Garamond"/>
              </w:rPr>
            </w:pPr>
            <w:r w:rsidRPr="003C59BB">
              <w:rPr>
                <w:rFonts w:ascii="Garamond" w:hAnsi="Garamond"/>
                <w:b/>
                <w:bCs/>
              </w:rPr>
              <w:t>Scales to deep networks</w:t>
            </w:r>
          </w:p>
        </w:tc>
        <w:tc>
          <w:tcPr>
            <w:tcW w:w="0" w:type="auto"/>
            <w:vAlign w:val="center"/>
            <w:hideMark/>
          </w:tcPr>
          <w:p w14:paraId="0C2695F2" w14:textId="77777777" w:rsidR="003C59BB" w:rsidRPr="003C59BB" w:rsidRDefault="003C59BB" w:rsidP="003C59BB">
            <w:pPr>
              <w:rPr>
                <w:rFonts w:ascii="Garamond" w:hAnsi="Garamond"/>
              </w:rPr>
            </w:pPr>
            <w:r w:rsidRPr="003C59BB">
              <w:rPr>
                <w:rFonts w:ascii="Garamond" w:hAnsi="Garamond"/>
              </w:rPr>
              <w:t>Works for any number of hidden layers</w:t>
            </w:r>
          </w:p>
        </w:tc>
      </w:tr>
      <w:tr w:rsidR="003C59BB" w:rsidRPr="003C59BB" w14:paraId="14220A38" w14:textId="77777777">
        <w:trPr>
          <w:tblCellSpacing w:w="15" w:type="dxa"/>
        </w:trPr>
        <w:tc>
          <w:tcPr>
            <w:tcW w:w="0" w:type="auto"/>
            <w:vAlign w:val="center"/>
            <w:hideMark/>
          </w:tcPr>
          <w:p w14:paraId="721DA306" w14:textId="77777777" w:rsidR="003C59BB" w:rsidRPr="003C59BB" w:rsidRDefault="003C59BB" w:rsidP="003C59BB">
            <w:pPr>
              <w:rPr>
                <w:rFonts w:ascii="Garamond" w:hAnsi="Garamond"/>
              </w:rPr>
            </w:pPr>
            <w:r w:rsidRPr="003C59BB">
              <w:rPr>
                <w:rFonts w:ascii="Garamond" w:hAnsi="Garamond"/>
                <w:b/>
                <w:bCs/>
              </w:rPr>
              <w:t>Hidden representations emerge</w:t>
            </w:r>
          </w:p>
        </w:tc>
        <w:tc>
          <w:tcPr>
            <w:tcW w:w="0" w:type="auto"/>
            <w:vAlign w:val="center"/>
            <w:hideMark/>
          </w:tcPr>
          <w:p w14:paraId="76040ADF" w14:textId="77777777" w:rsidR="003C59BB" w:rsidRPr="003C59BB" w:rsidRDefault="003C59BB" w:rsidP="003C59BB">
            <w:pPr>
              <w:rPr>
                <w:rFonts w:ascii="Garamond" w:hAnsi="Garamond"/>
              </w:rPr>
            </w:pPr>
            <w:r w:rsidRPr="003C59BB">
              <w:rPr>
                <w:rFonts w:ascii="Garamond" w:hAnsi="Garamond"/>
              </w:rPr>
              <w:t>Units in hidden layers spontaneously develop useful internal codes without being told what to represent</w:t>
            </w:r>
          </w:p>
        </w:tc>
      </w:tr>
      <w:tr w:rsidR="003C59BB" w:rsidRPr="003C59BB" w14:paraId="37D95775" w14:textId="77777777">
        <w:trPr>
          <w:tblCellSpacing w:w="15" w:type="dxa"/>
        </w:trPr>
        <w:tc>
          <w:tcPr>
            <w:tcW w:w="0" w:type="auto"/>
            <w:vAlign w:val="center"/>
            <w:hideMark/>
          </w:tcPr>
          <w:p w14:paraId="78EECDE6" w14:textId="77777777" w:rsidR="003C59BB" w:rsidRPr="003C59BB" w:rsidRDefault="003C59BB" w:rsidP="003C59BB">
            <w:pPr>
              <w:rPr>
                <w:rFonts w:ascii="Garamond" w:hAnsi="Garamond"/>
              </w:rPr>
            </w:pPr>
            <w:r w:rsidRPr="003C59BB">
              <w:rPr>
                <w:rFonts w:ascii="Garamond" w:hAnsi="Garamond"/>
                <w:b/>
                <w:bCs/>
              </w:rPr>
              <w:t>Generalizes the perceptron</w:t>
            </w:r>
          </w:p>
        </w:tc>
        <w:tc>
          <w:tcPr>
            <w:tcW w:w="0" w:type="auto"/>
            <w:vAlign w:val="center"/>
            <w:hideMark/>
          </w:tcPr>
          <w:p w14:paraId="7C5DDC4C" w14:textId="77777777" w:rsidR="003C59BB" w:rsidRPr="003C59BB" w:rsidRDefault="003C59BB" w:rsidP="003C59BB">
            <w:pPr>
              <w:rPr>
                <w:rFonts w:ascii="Garamond" w:hAnsi="Garamond"/>
              </w:rPr>
            </w:pPr>
            <w:r w:rsidRPr="003C59BB">
              <w:rPr>
                <w:rFonts w:ascii="Garamond" w:hAnsi="Garamond"/>
              </w:rPr>
              <w:t>Reduces to the Widrow-Hoff rule for single-layer networks</w:t>
            </w:r>
          </w:p>
        </w:tc>
      </w:tr>
    </w:tbl>
    <w:p w14:paraId="27FCE31F" w14:textId="77777777" w:rsidR="003C59BB" w:rsidRPr="003C59BB" w:rsidRDefault="00E02CC8" w:rsidP="003C59BB">
      <w:pPr>
        <w:rPr>
          <w:rFonts w:ascii="Garamond" w:hAnsi="Garamond"/>
        </w:rPr>
      </w:pPr>
      <w:r>
        <w:rPr>
          <w:rFonts w:ascii="Garamond" w:hAnsi="Garamond"/>
          <w:noProof/>
        </w:rPr>
        <w:pict w14:anchorId="58C10911">
          <v:rect id="_x0000_i1026" alt="" style="width:468pt;height:.05pt;mso-width-percent:0;mso-height-percent:0;mso-width-percent:0;mso-height-percent:0" o:hralign="center" o:hrstd="t" o:hr="t" fillcolor="#a0a0a0" stroked="f"/>
        </w:pict>
      </w:r>
    </w:p>
    <w:p w14:paraId="2BA1D7E8" w14:textId="77777777" w:rsidR="003C59BB" w:rsidRPr="003C59BB" w:rsidRDefault="003C59BB" w:rsidP="003C59BB">
      <w:pPr>
        <w:rPr>
          <w:rFonts w:ascii="Garamond" w:hAnsi="Garamond"/>
          <w:b/>
          <w:bCs/>
        </w:rPr>
      </w:pPr>
      <w:r w:rsidRPr="003C59BB">
        <w:rPr>
          <w:rFonts w:ascii="Garamond" w:hAnsi="Garamond"/>
          <w:b/>
          <w:bCs/>
        </w:rPr>
        <w:t>The Representational Insight</w:t>
      </w:r>
    </w:p>
    <w:p w14:paraId="7AE4A93B" w14:textId="77777777" w:rsidR="003C59BB" w:rsidRPr="003C59BB" w:rsidRDefault="003C59BB" w:rsidP="003C59BB">
      <w:pPr>
        <w:rPr>
          <w:rFonts w:ascii="Garamond" w:hAnsi="Garamond"/>
        </w:rPr>
      </w:pPr>
      <w:r w:rsidRPr="003C59BB">
        <w:rPr>
          <w:rFonts w:ascii="Garamond" w:hAnsi="Garamond"/>
        </w:rPr>
        <w:t xml:space="preserve">Beyond the algorithm, the paper made a deeper theoretical point that is often understated: </w:t>
      </w:r>
      <w:r w:rsidRPr="003C59BB">
        <w:rPr>
          <w:rFonts w:ascii="Garamond" w:hAnsi="Garamond"/>
          <w:b/>
          <w:bCs/>
        </w:rPr>
        <w:t>hidden units are not specified by the task</w:t>
      </w:r>
      <w:r w:rsidRPr="003C59BB">
        <w:rPr>
          <w:rFonts w:ascii="Garamond" w:hAnsi="Garamond"/>
        </w:rPr>
        <w:t xml:space="preserve">. They are free to develop their own internal representations. Rumelhart et al. showed empirically (on problems like XOR, symmetry detection, and family-tree encoding) that the network discovers meaningful, </w:t>
      </w:r>
      <w:r w:rsidRPr="003C59BB">
        <w:rPr>
          <w:rFonts w:ascii="Garamond" w:hAnsi="Garamond"/>
          <w:i/>
          <w:iCs/>
        </w:rPr>
        <w:t>compressed</w:t>
      </w:r>
      <w:r w:rsidRPr="003C59BB">
        <w:rPr>
          <w:rFonts w:ascii="Garamond" w:hAnsi="Garamond"/>
        </w:rPr>
        <w:t xml:space="preserve"> feature representations on its own — a precursor to what we now call </w:t>
      </w:r>
      <w:r w:rsidRPr="003C59BB">
        <w:rPr>
          <w:rFonts w:ascii="Garamond" w:hAnsi="Garamond"/>
          <w:b/>
          <w:bCs/>
        </w:rPr>
        <w:t>representation learning</w:t>
      </w:r>
      <w:r w:rsidRPr="003C59BB">
        <w:rPr>
          <w:rFonts w:ascii="Garamond" w:hAnsi="Garamond"/>
        </w:rPr>
        <w:t>.</w:t>
      </w:r>
    </w:p>
    <w:p w14:paraId="313D475A" w14:textId="77777777" w:rsidR="003C59BB" w:rsidRPr="003C59BB" w:rsidRDefault="00E02CC8" w:rsidP="003C59BB">
      <w:pPr>
        <w:rPr>
          <w:rFonts w:ascii="Garamond" w:hAnsi="Garamond"/>
        </w:rPr>
      </w:pPr>
      <w:r>
        <w:rPr>
          <w:rFonts w:ascii="Garamond" w:hAnsi="Garamond"/>
          <w:noProof/>
        </w:rPr>
        <w:pict w14:anchorId="6C1E0161">
          <v:rect id="_x0000_i1025" alt="" style="width:468pt;height:.05pt;mso-width-percent:0;mso-height-percent:0;mso-width-percent:0;mso-height-percent:0" o:hralign="center" o:hrstd="t" o:hr="t" fillcolor="#a0a0a0" stroked="f"/>
        </w:pict>
      </w:r>
    </w:p>
    <w:p w14:paraId="16E71865" w14:textId="77777777" w:rsidR="003C59BB" w:rsidRPr="003C59BB" w:rsidRDefault="003C59BB" w:rsidP="003C59BB">
      <w:pPr>
        <w:rPr>
          <w:rFonts w:ascii="Garamond" w:hAnsi="Garamond"/>
          <w:b/>
          <w:bCs/>
        </w:rPr>
      </w:pPr>
      <w:r w:rsidRPr="003C59BB">
        <w:rPr>
          <w:rFonts w:ascii="Garamond" w:hAnsi="Garamond"/>
          <w:b/>
          <w:bCs/>
        </w:rPr>
        <w:t>Historical Note</w:t>
      </w:r>
    </w:p>
    <w:p w14:paraId="3A9FA638" w14:textId="77777777" w:rsidR="003C59BB" w:rsidRPr="003C59BB" w:rsidRDefault="003C59BB" w:rsidP="003C59BB">
      <w:pPr>
        <w:rPr>
          <w:rFonts w:ascii="Garamond" w:hAnsi="Garamond"/>
        </w:rPr>
      </w:pPr>
      <w:r w:rsidRPr="003C59BB">
        <w:rPr>
          <w:rFonts w:ascii="Garamond" w:hAnsi="Garamond"/>
        </w:rPr>
        <w:t>The backpropagation algorithm had been independently derived earlier (Werbos 1974, Parker 1985), but the 1986 Nature paper was the first to demonstrate it compellingly on nontrivial problems, explain the representational significance, and disseminate it to a wide scientific audience. It effectively launched the first serious wave of connectionist research and is a direct ancestor of modern deep learning.</w:t>
      </w:r>
    </w:p>
    <w:p w14:paraId="291FC0F2" w14:textId="77777777" w:rsidR="00A33A17" w:rsidRPr="003C59BB" w:rsidRDefault="00A33A17">
      <w:pPr>
        <w:rPr>
          <w:rFonts w:ascii="Garamond" w:hAnsi="Garamond"/>
        </w:rPr>
      </w:pPr>
    </w:p>
    <w:sectPr w:rsidR="00A33A17" w:rsidRPr="003C59BB" w:rsidSect="006D74D3">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33522" w14:textId="77777777" w:rsidR="00E02CC8" w:rsidRDefault="00E02CC8" w:rsidP="003C59BB">
      <w:pPr>
        <w:spacing w:after="0" w:line="240" w:lineRule="auto"/>
      </w:pPr>
      <w:r>
        <w:separator/>
      </w:r>
    </w:p>
  </w:endnote>
  <w:endnote w:type="continuationSeparator" w:id="0">
    <w:p w14:paraId="1787F5F7" w14:textId="77777777" w:rsidR="00E02CC8" w:rsidRDefault="00E02CC8" w:rsidP="003C5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2120265"/>
      <w:docPartObj>
        <w:docPartGallery w:val="Page Numbers (Bottom of Page)"/>
        <w:docPartUnique/>
      </w:docPartObj>
    </w:sdtPr>
    <w:sdtContent>
      <w:p w14:paraId="4373E4AF" w14:textId="672D76C5" w:rsidR="003C59BB" w:rsidRDefault="003C59BB" w:rsidP="00F061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5539B27" w14:textId="77777777" w:rsidR="003C59BB" w:rsidRDefault="003C59BB" w:rsidP="003C59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4504304"/>
      <w:docPartObj>
        <w:docPartGallery w:val="Page Numbers (Bottom of Page)"/>
        <w:docPartUnique/>
      </w:docPartObj>
    </w:sdtPr>
    <w:sdtContent>
      <w:p w14:paraId="1168586D" w14:textId="7B642E63" w:rsidR="003C59BB" w:rsidRDefault="003C59BB" w:rsidP="00F061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26D2D1B" w14:textId="77777777" w:rsidR="003C59BB" w:rsidRDefault="003C59BB" w:rsidP="003C59B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7A035" w14:textId="77777777" w:rsidR="00E02CC8" w:rsidRDefault="00E02CC8" w:rsidP="003C59BB">
      <w:pPr>
        <w:spacing w:after="0" w:line="240" w:lineRule="auto"/>
      </w:pPr>
      <w:r>
        <w:separator/>
      </w:r>
    </w:p>
  </w:footnote>
  <w:footnote w:type="continuationSeparator" w:id="0">
    <w:p w14:paraId="72C35C87" w14:textId="77777777" w:rsidR="00E02CC8" w:rsidRDefault="00E02CC8" w:rsidP="003C59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109CB"/>
    <w:multiLevelType w:val="multilevel"/>
    <w:tmpl w:val="ADA6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562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9BB"/>
    <w:rsid w:val="00205990"/>
    <w:rsid w:val="003C59BB"/>
    <w:rsid w:val="00475BE9"/>
    <w:rsid w:val="005066E8"/>
    <w:rsid w:val="006A29EC"/>
    <w:rsid w:val="006D74D3"/>
    <w:rsid w:val="007D5EEC"/>
    <w:rsid w:val="009319AB"/>
    <w:rsid w:val="00A33A17"/>
    <w:rsid w:val="00A44A5F"/>
    <w:rsid w:val="00C32F41"/>
    <w:rsid w:val="00C941D5"/>
    <w:rsid w:val="00CF3000"/>
    <w:rsid w:val="00D6576D"/>
    <w:rsid w:val="00E02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A4C38"/>
  <w14:defaultImageDpi w14:val="32767"/>
  <w15:chartTrackingRefBased/>
  <w15:docId w15:val="{F1726B3D-CC3F-DC4C-941E-91FDD6DA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9BB"/>
    <w:rPr>
      <w:rFonts w:eastAsiaTheme="majorEastAsia" w:cstheme="majorBidi"/>
      <w:color w:val="272727" w:themeColor="text1" w:themeTint="D8"/>
    </w:rPr>
  </w:style>
  <w:style w:type="paragraph" w:styleId="Title">
    <w:name w:val="Title"/>
    <w:basedOn w:val="Normal"/>
    <w:next w:val="Normal"/>
    <w:link w:val="TitleChar"/>
    <w:uiPriority w:val="10"/>
    <w:qFormat/>
    <w:rsid w:val="003C5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9BB"/>
    <w:pPr>
      <w:spacing w:before="160"/>
      <w:jc w:val="center"/>
    </w:pPr>
    <w:rPr>
      <w:i/>
      <w:iCs/>
      <w:color w:val="404040" w:themeColor="text1" w:themeTint="BF"/>
    </w:rPr>
  </w:style>
  <w:style w:type="character" w:customStyle="1" w:styleId="QuoteChar">
    <w:name w:val="Quote Char"/>
    <w:basedOn w:val="DefaultParagraphFont"/>
    <w:link w:val="Quote"/>
    <w:uiPriority w:val="29"/>
    <w:rsid w:val="003C59BB"/>
    <w:rPr>
      <w:i/>
      <w:iCs/>
      <w:color w:val="404040" w:themeColor="text1" w:themeTint="BF"/>
    </w:rPr>
  </w:style>
  <w:style w:type="paragraph" w:styleId="ListParagraph">
    <w:name w:val="List Paragraph"/>
    <w:basedOn w:val="Normal"/>
    <w:uiPriority w:val="34"/>
    <w:qFormat/>
    <w:rsid w:val="003C59BB"/>
    <w:pPr>
      <w:ind w:left="720"/>
      <w:contextualSpacing/>
    </w:pPr>
  </w:style>
  <w:style w:type="character" w:styleId="IntenseEmphasis">
    <w:name w:val="Intense Emphasis"/>
    <w:basedOn w:val="DefaultParagraphFont"/>
    <w:uiPriority w:val="21"/>
    <w:qFormat/>
    <w:rsid w:val="003C59BB"/>
    <w:rPr>
      <w:i/>
      <w:iCs/>
      <w:color w:val="0F4761" w:themeColor="accent1" w:themeShade="BF"/>
    </w:rPr>
  </w:style>
  <w:style w:type="paragraph" w:styleId="IntenseQuote">
    <w:name w:val="Intense Quote"/>
    <w:basedOn w:val="Normal"/>
    <w:next w:val="Normal"/>
    <w:link w:val="IntenseQuoteChar"/>
    <w:uiPriority w:val="30"/>
    <w:qFormat/>
    <w:rsid w:val="003C5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9BB"/>
    <w:rPr>
      <w:i/>
      <w:iCs/>
      <w:color w:val="0F4761" w:themeColor="accent1" w:themeShade="BF"/>
    </w:rPr>
  </w:style>
  <w:style w:type="character" w:styleId="IntenseReference">
    <w:name w:val="Intense Reference"/>
    <w:basedOn w:val="DefaultParagraphFont"/>
    <w:uiPriority w:val="32"/>
    <w:qFormat/>
    <w:rsid w:val="003C59BB"/>
    <w:rPr>
      <w:b/>
      <w:bCs/>
      <w:smallCaps/>
      <w:color w:val="0F4761" w:themeColor="accent1" w:themeShade="BF"/>
      <w:spacing w:val="5"/>
    </w:rPr>
  </w:style>
  <w:style w:type="paragraph" w:styleId="Footer">
    <w:name w:val="footer"/>
    <w:basedOn w:val="Normal"/>
    <w:link w:val="FooterChar"/>
    <w:uiPriority w:val="99"/>
    <w:unhideWhenUsed/>
    <w:rsid w:val="003C59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9BB"/>
  </w:style>
  <w:style w:type="character" w:styleId="PageNumber">
    <w:name w:val="page number"/>
    <w:basedOn w:val="DefaultParagraphFont"/>
    <w:uiPriority w:val="99"/>
    <w:semiHidden/>
    <w:unhideWhenUsed/>
    <w:rsid w:val="003C59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633</Words>
  <Characters>3561</Characters>
  <Application>Microsoft Office Word</Application>
  <DocSecurity>0</DocSecurity>
  <Lines>89</Lines>
  <Paragraphs>54</Paragraphs>
  <ScaleCrop>false</ScaleCrop>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Everson</dc:creator>
  <cp:keywords/>
  <dc:description/>
  <cp:lastModifiedBy>Howard Everson</cp:lastModifiedBy>
  <cp:revision>2</cp:revision>
  <dcterms:created xsi:type="dcterms:W3CDTF">2026-05-14T19:31:00Z</dcterms:created>
  <dcterms:modified xsi:type="dcterms:W3CDTF">2026-05-14T19:35:00Z</dcterms:modified>
</cp:coreProperties>
</file>