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7588585" w14:textId="77777777" w:rsidR="00000000" w:rsidRDefault="00000000">
      <w:pPr>
        <w:pStyle w:val="DefaultParagraphFont1"/>
        <w:spacing w:after="120"/>
        <w:jc w:val="center"/>
        <w:rPr>
          <w:lang w:val="es-PE"/>
        </w:rPr>
      </w:pPr>
      <w:r>
        <w:rPr>
          <w:bCs/>
          <w:sz w:val="36"/>
          <w:szCs w:val="36"/>
          <w:lang w:val="en-AU"/>
        </w:rPr>
        <w:t>A Reproducible Methodological Framework for Prosecutorial Congestion RiskPrediction Using Explainable Machine Learning and Temporal Validation</w:t>
      </w:r>
    </w:p>
    <w:p w14:paraId="5A070479" w14:textId="77777777" w:rsidR="00000000" w:rsidRDefault="00000000">
      <w:pPr>
        <w:pStyle w:val="Authors"/>
        <w:rPr>
          <w:rFonts w:ascii="Times" w:eastAsia="PMingLiU" w:hAnsi="Times" w:cs="Times"/>
          <w:iCs/>
          <w:lang w:val="es-PE"/>
        </w:rPr>
      </w:pPr>
      <w:r>
        <w:rPr>
          <w:lang w:val="es-PE"/>
        </w:rPr>
        <w:t>Moisés Evangelista Gamarra</w:t>
      </w:r>
      <w:r>
        <w:rPr>
          <w:vertAlign w:val="superscript"/>
          <w:lang w:val="es-PE"/>
        </w:rPr>
        <w:t>1</w:t>
      </w:r>
      <w:hyperlink r:id="rId7" w:history="1">
        <w:r>
          <w:rPr>
            <w:rStyle w:val="Hipervnculo"/>
            <w:lang w:val="es-PE"/>
          </w:rPr>
          <w:pict w14:anchorId="735839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2pt;height:7.2pt" filled="t">
              <v:fill opacity="0" color2="black"/>
              <v:imagedata r:id="rId8" o:title="" croptop="-14f" cropbottom="-14f" cropleft="-7f" cropright="-14f"/>
            </v:shape>
          </w:pict>
        </w:r>
        <w:r>
          <w:rPr>
            <w:rStyle w:val="Hipervnculo"/>
            <w:lang w:val="es-PE"/>
          </w:rPr>
          <w:t>;</w:t>
        </w:r>
      </w:hyperlink>
      <w:r>
        <w:rPr>
          <w:lang w:val="es-PE"/>
        </w:rPr>
        <w:t xml:space="preserve"> Jerremi Aron Chancan Labajos</w:t>
      </w:r>
      <w:r>
        <w:rPr>
          <w:vertAlign w:val="superscript"/>
          <w:lang w:val="es-PE"/>
        </w:rPr>
        <w:t>1</w:t>
      </w:r>
      <w:hyperlink r:id="rId9" w:history="1">
        <w:r>
          <w:pict w14:anchorId="1AA44E5C">
            <v:shape id="_x0000_i1026" type="#_x0000_t75" href="https://orcid.org/0009-0005-6789-076X" style="width:7.2pt;height:7.2pt" o:allowoverlap="f" o:button="t" filled="t">
              <v:fill opacity="0" color2="black"/>
              <v:imagedata r:id="rId8" o:title="" croptop="-14f" cropbottom="-14f" cropleft="-7f" cropright="-14f"/>
            </v:shape>
          </w:pict>
        </w:r>
      </w:hyperlink>
    </w:p>
    <w:p w14:paraId="5A4388E5" w14:textId="75E2470F" w:rsidR="00000000" w:rsidRDefault="00000000">
      <w:pPr>
        <w:pStyle w:val="Authors"/>
        <w:rPr>
          <w:b/>
          <w:bCs/>
          <w:i/>
          <w:iCs/>
          <w:sz w:val="18"/>
          <w:szCs w:val="22"/>
          <w:lang w:val="es-PE"/>
        </w:rPr>
      </w:pPr>
      <w:r>
        <w:rPr>
          <w:rFonts w:ascii="Times" w:eastAsia="PMingLiU" w:hAnsi="Times" w:cs="Times"/>
          <w:iCs/>
          <w:lang w:val="es-PE"/>
        </w:rPr>
        <w:t>Servicio Nacional de Adiestramiento en Trabajo Industrial, Lima, Perú</w:t>
      </w:r>
      <w:r>
        <w:rPr>
          <w:rFonts w:ascii="Times" w:eastAsia="PMingLiU" w:hAnsi="Times" w:cs="Times"/>
          <w:i/>
          <w:lang w:val="es-PE"/>
        </w:rPr>
        <w:t xml:space="preserve">, </w:t>
      </w:r>
      <w:hyperlink r:id="rId10" w:history="1">
        <w:r>
          <w:rPr>
            <w:rStyle w:val="Hipervnculo"/>
            <w:rFonts w:ascii="Times" w:eastAsia="PMingLiU" w:hAnsi="Times" w:cs="Times"/>
            <w:i/>
            <w:lang w:val="es-PE"/>
          </w:rPr>
          <w:t>mevangelistag@senati.pe</w:t>
        </w:r>
      </w:hyperlink>
      <w:r>
        <w:rPr>
          <w:rFonts w:ascii="Times" w:eastAsia="PMingLiU" w:hAnsi="Times" w:cs="Times"/>
          <w:i/>
          <w:lang w:val="es-PE"/>
        </w:rPr>
        <w:t xml:space="preserve">, </w:t>
      </w:r>
      <w:hyperlink r:id="rId11" w:history="1">
        <w:r>
          <w:rPr>
            <w:rStyle w:val="Hipervnculo"/>
            <w:rFonts w:ascii="Times" w:eastAsia="PMingLiU" w:hAnsi="Times" w:cs="Times"/>
            <w:i/>
            <w:lang w:val="es-PE"/>
          </w:rPr>
          <w:t>152048@senati.pe</w:t>
        </w:r>
      </w:hyperlink>
    </w:p>
    <w:p w14:paraId="6BE7AB74" w14:textId="77777777" w:rsidR="00000000" w:rsidRDefault="00000000">
      <w:pPr>
        <w:pStyle w:val="DefaultParagraphFont1"/>
        <w:jc w:val="both"/>
        <w:rPr>
          <w:rFonts w:ascii="Times New Roman" w:hAnsi="Times New Roman" w:cs="Times New Roman"/>
          <w:b/>
          <w:bCs/>
          <w:i/>
          <w:iCs/>
          <w:sz w:val="18"/>
          <w:szCs w:val="22"/>
          <w:lang w:val="es-PE"/>
        </w:rPr>
      </w:pPr>
    </w:p>
    <w:p w14:paraId="31A9816B" w14:textId="77777777" w:rsidR="00000000" w:rsidRDefault="00000000">
      <w:pPr>
        <w:sectPr w:rsidR="00000000">
          <w:footerReference w:type="default" r:id="rId12"/>
          <w:footerReference w:type="first" r:id="rId13"/>
          <w:pgSz w:w="12240" w:h="15840"/>
          <w:pgMar w:top="1080" w:right="900" w:bottom="1440" w:left="900" w:header="720" w:footer="720" w:gutter="0"/>
          <w:cols w:space="720"/>
          <w:docGrid w:linePitch="360"/>
        </w:sectPr>
      </w:pPr>
    </w:p>
    <w:p w14:paraId="4ED6BE83" w14:textId="77777777" w:rsidR="00000000" w:rsidRDefault="00000000">
      <w:pPr>
        <w:pStyle w:val="AbstractandKeywords"/>
      </w:pPr>
      <w:r>
        <w:t>Abstract– Congestion in justice systems poses a significant challenge for institutional planning due to its impact on operational workload and resource allocation. This study proposes a reproducible machine learning framework to estimate the proxy risk of prosecutorial congestion using administrative records from the Public Prosecutor's Office of Peru covering the 2019–2026 period. The methodology integrates consensus-based robust feature selection, temporal validation to prevent data leakage, robustness assessment, ablation analysis, and SHAP-based interpretability within a single reproducible workflow. The selected model achieved an F1-score of 0.469 and a ROC-AUC of 0.798 on the 2025 test set while maintaining consistent performance during external temporal validation on the 2026 dataset. The ablation study and SHAP analysis indicate that the model's predictive capability is driven primarily by territorial and institutional patterns, whereas historical features provide complementary information. Furthermore, the operational impact analysis highlights the model's potential to support the preventive prioritization of operational combinations with higher estimated proxy risk. The main contribution of this work is a reproducible methodological framework that integrates robust feature selection, temporal validation, robustness assessment, and model interpretability into a unified framework for supporting decision-making in the prosecutorial domain.</w:t>
      </w:r>
    </w:p>
    <w:p w14:paraId="1F577CDC" w14:textId="77777777" w:rsidR="00000000" w:rsidRDefault="00000000">
      <w:pPr>
        <w:pStyle w:val="AbstractandKeywords"/>
      </w:pPr>
      <w:r>
        <w:t>Keywords-- Machine learning, prosecutorial analytics, judicial analytics, congestion risk, explainable artificial intelligence.</w:t>
      </w:r>
    </w:p>
    <w:p w14:paraId="7A5DD285" w14:textId="77777777" w:rsidR="00000000" w:rsidRDefault="00000000">
      <w:pPr>
        <w:pStyle w:val="Ttulo1"/>
        <w:rPr>
          <w:rFonts w:eastAsia="Times New Roman"/>
        </w:rPr>
      </w:pPr>
      <w:r>
        <w:t xml:space="preserve">I.  Introduction </w:t>
      </w:r>
    </w:p>
    <w:p w14:paraId="7C6226E8" w14:textId="77777777" w:rsidR="00000000" w:rsidRDefault="00000000">
      <w:pPr>
        <w:snapToGrid w:val="0"/>
        <w:ind w:firstLine="360"/>
        <w:jc w:val="both"/>
        <w:rPr>
          <w:rFonts w:eastAsia="Times New Roman"/>
        </w:rPr>
      </w:pPr>
      <w:r>
        <w:rPr>
          <w:rFonts w:eastAsia="Times New Roman"/>
        </w:rPr>
        <w:t>Congestion in justice systems represents a challenge for institutional management, as it increases response times, hinders the efficient allocation of resources, and limits the operational capacity of the organizations responsible for the administration of justice. In this context, machine learning has emerged as a promising tool for the early identification of scenarios with high operational risk and for supporting evidence-based planning through the analysis of administrative records.</w:t>
      </w:r>
    </w:p>
    <w:p w14:paraId="5C7B9661" w14:textId="77777777" w:rsidR="00000000" w:rsidRDefault="00000000">
      <w:pPr>
        <w:snapToGrid w:val="0"/>
        <w:ind w:firstLine="360"/>
        <w:jc w:val="both"/>
        <w:rPr>
          <w:rFonts w:eastAsia="Times New Roman"/>
        </w:rPr>
      </w:pPr>
      <w:r>
        <w:rPr>
          <w:rFonts w:eastAsia="Times New Roman"/>
        </w:rPr>
        <w:t>Several studies have applied machine learning techniques to predict judicial congestion, workload, and institutional performance. However, most studies evaluate predictive algorithms, feature selection techniques, or interpretability methods in isolation, whereas aspects such as temporal validation, explicit data leakage control, the integration of robust feature selection and interpretability, and the joint evaluation of model robustness remain uncommon within a single reproducible methodological workflow.</w:t>
      </w:r>
    </w:p>
    <w:p w14:paraId="0C44EA12" w14:textId="77777777" w:rsidR="00000000" w:rsidRDefault="00000000">
      <w:pPr>
        <w:snapToGrid w:val="0"/>
        <w:ind w:firstLine="360"/>
        <w:jc w:val="both"/>
        <w:rPr>
          <w:rFonts w:eastAsia="Times New Roman"/>
        </w:rPr>
      </w:pPr>
      <w:r>
        <w:rPr>
          <w:rFonts w:eastAsia="Times New Roman"/>
        </w:rPr>
        <w:t xml:space="preserve">In response to these limitations, this study proposes a reproducible Consensus, Temporal Validation, and Explainability Methodological Framework (CTVEMF) based on machine learning to estimate the proxy risk of prosecutorial congestion in the Public Prosecutor's Office of Peru, using </w:t>
      </w:r>
      <w:r>
        <w:rPr>
          <w:rFonts w:eastAsia="Times New Roman"/>
        </w:rPr>
        <w:t>administrative records from the 2019–2026 period. The main contributions of this work are as follows: (i) a consensus-based robust feature selection strategy combining six methods, preceded by an explicit multicollinearity audit; (ii) a year-block temporal validation scheme that prevents data leakage; (iii) a joint robustness assessment through an ablation study and unsupervised validation of the feature space; and (iv) a SHAP-based interpretability analysis integrated with an operational impact analysis aimed at the preventive prioritization of operational combinations with higher estimated risk. Collectively, these elements integrate, within a single methodological workflow, components that the previous literature has typically addressed in isolation.</w:t>
      </w:r>
    </w:p>
    <w:p w14:paraId="4AD47E6B" w14:textId="77777777" w:rsidR="00000000" w:rsidRDefault="00000000">
      <w:pPr>
        <w:snapToGrid w:val="0"/>
        <w:ind w:firstLine="360"/>
        <w:jc w:val="both"/>
        <w:rPr>
          <w:rFonts w:eastAsia="Times New Roman"/>
        </w:rPr>
      </w:pPr>
      <w:r>
        <w:rPr>
          <w:rFonts w:eastAsia="Times New Roman"/>
        </w:rPr>
        <w:t>The remainder of this paper is organized as follows. Section II presents the related work. Section III describes the methodology. Section IV presents the results. Sections V, VI, and VII present the discussion, limitations, and conclusions, respectively.</w:t>
      </w:r>
    </w:p>
    <w:p w14:paraId="5502AC75" w14:textId="77777777" w:rsidR="00000000" w:rsidRDefault="00000000">
      <w:pPr>
        <w:pStyle w:val="Ttulo2"/>
      </w:pPr>
      <w:r>
        <w:rPr>
          <w:rFonts w:eastAsia="Times New Roman"/>
        </w:rPr>
        <w:t xml:space="preserve"> </w:t>
      </w:r>
      <w:r>
        <w:t>A.</w:t>
      </w:r>
      <w:r>
        <w:tab/>
        <w:t>Machine Learning for Predicting Judicial and Prosecutorial Workload</w:t>
      </w:r>
    </w:p>
    <w:p w14:paraId="629ED952" w14:textId="77777777" w:rsidR="00000000" w:rsidRDefault="00000000">
      <w:pPr>
        <w:snapToGrid w:val="0"/>
        <w:ind w:firstLine="360"/>
        <w:jc w:val="both"/>
        <w:rPr>
          <w:rFonts w:ascii="Times New Roman" w:hAnsi="Times New Roman" w:cs="Times New Roman"/>
          <w:lang w:val="en-US"/>
        </w:rPr>
      </w:pPr>
      <w:r>
        <w:rPr>
          <w:rFonts w:ascii="Times New Roman" w:hAnsi="Times New Roman" w:cs="Times New Roman"/>
          <w:lang w:val="en-US"/>
        </w:rPr>
        <w:t xml:space="preserve">Previous research on predicting case duration and procedural delays has predominantly focused on the judicial domain, overlooking prosecutorial dynamics. Recent studies have shown that machine learning can contribute to modeling operational workload and optimizing institutional performance through the analysis of administrative records, including applications aimed at reducing judicial congestion, evaluating productivity, and conducting temporal analyses of judicial processes </w:t>
      </w:r>
      <w:r>
        <w:fldChar w:fldCharType="begin"/>
      </w:r>
      <w:r>
        <w:rPr>
          <w:rFonts w:ascii="Times New Roman" w:hAnsi="Times New Roman" w:cs="Times New Roman"/>
          <w:lang w:val="en-US"/>
        </w:rPr>
        <w:instrText xml:space="preserve"> ADDIN ZOTERO_ITEM CSL_CITATION {"citationID":"tnoF1Uwn","properties":{"unsorted":false,"formattedCitation":"[1], [2], [3]","plainCitation":"[1], [2], [3]","noteIndex":0},"citationItems":[{"id":51,"uris":["http://zotero.org/users/local/0z44BwR0/items/BFRWF9E5"],"itemData":{"id":51,"type":"article-journal","abstract":"This paper investigates court congestion through a field study conducted at the Jerusalem District Court in Israel, aiming to reduce case processing time by adapting successful operational concepts to this unique environment. Using a modified difference-in-differences approach, the study suggests a notable 46.1% reduction in the duration of the treated part of the judicial process, demonstrating the efficacy of operational management tools in alleviating court congestion without compromising process quality or requiring additional resources.\n          , \n            Court congestion is a worldwide phenomenon with negative societal effects such as delayed access to justice and drawn-out procedures, as well as negative economic ramifications. In this paper, we report on a field study conducted in cooperation with the Jerusalem District Court in Israel with the aim of reducing average case processing time within the existing set of resources. To achieve this goal, we analyzed the judicial process using operational concepts that have been successfully implemented in other contexts, and we adapted them to the court process. We further collected data before and after the operational changes were implemented to assess the efficacy of the implementation. We exploited the distinctive structure of the judicial process and the fact that our operational changes targeted one part of that process to propose a variation of the difference-in-differences approach to measure the process improvement. The results suggest that the duration of the treated part of the process was reduced by 46.1% postimplementation. We further examined the effect of the treatment on the quality of the process, measured by appeal rate, and found no adverse effect. These analyses demonstrate the potential of using operational management tools and concepts to improve judicial processes and to contribute to the alleviation of court congestion.","container-title":"INFORMS Journal on Applied Analytics","DOI":"10.1287/inte.2023.0026","ISSN":"2644-0865, 2644-0873","issue":"3","journalAbbreviation":"INFORMS Journal on Applied Analytics","language":"en","page":"267-281","source":"DOI.org (Crossref)","title":"Alleviating Court Congestion: The Case of the Jerusalem District Court","title-short":"Alleviating Court Congestion","URL":"https://pubsonline.informs.org/doi/10.1287/inte.2023.0026","volume":"54","author":[{"family":"Azaria","given":"Shany"},{"family":"Ronen","given":"Boaz"},{"family":"Shamir","given":"Noam"}],"accessed":{"date-parts":[["2026",7,16]]},"issued":{"date-parts":[["2024",5]]}}},{"id":52,"uris":["http://zotero.org/users/local/0z44BwR0/items/ASLLKMZQ"],"itemData":{"id":52,"type":"article-journal","abstract":"Maintaining the judiciary requires a high level of budgetary expenditure, but the specifics of this relationship have not yet been fully explored. While several studies have examined the impact of spending on the judiciary through measures related to productivity and performance, none have used machine learning techniques. This study examines the productivity of the court system based on expenditures and other variables using machine learning techniques. In the clustering process Brazilian courts are ranked according to their productivity, while in the neural network step it is verified which characteristics are most relevant at the budgetary level related to judicial productivity for each cluster formed in the first step. The final neural network model supports the results of Pearson’s parametric correlation test, which found no significant correlation between expenditure and productivity. The findings from this study demonstrate the importance of understanding that increasing public budget expenditures alone is not sufficient to improve the efficiency of the judicial system. Instead, other administrative measures are necessary to meet the demands of the Brazilian judiciary and improve service delivery rates. These results offer important theoretical and managerial contributions to the field.","container-title":"Mathematics","DOI":"10.3390/math11143195","ISSN":"2227-7390","issue":"14","journalAbbreviation":"Mathematics","language":"en","page":"3195","source":"DOI.org (Crossref)","title":"Analysis of Judiciary Expenditure and Productivity Using Machine Learning Techniques","URL":"https://www.mdpi.com/2227-7390/11/14/3195","volume":"11","author":[{"family":"Vasconcelos","given":"Fernando Freire"},{"family":"Sátiro","given":"Renato Máximo"},{"family":"Fávero","given":"Luiz Paulo Lopes"},{"family":"Bortoloto","given":"Gabriela Troyano"},{"family":"Corrêa","given":"Hamilton Luiz"}],"accessed":{"date-parts":[["2026",7,16]]},"issued":{"date-parts":[["2023",7,21]]}}},{"id":53,"uris":["http://zotero.org/users/local/0z44BwR0/items/T5H6WSC5"],"itemData":{"id":53,"type":"article-journal","abstract":"Purpose\n              The purpose of this paper is to show how data mining techniques can improve the performance management of the judiciary, helping judges in steering position with specific and timely measures. It explores different approaches to analyse the length of trials, based on the case of an Italian judicial office.\n            \n            \n              Design/methodology/approach\n              The paper presents a temporal analysis to compare the timeliness of trials, using data and process mining approaches with the support of a specific software to represent graphically the results. Data were gathered directly from the office data base, improving precision and the opportunity to monitor specific phases of the trials.\n            \n            \n              Findings\n              The results highlight the progress that can be reached using data mining approaches to develop performance analyses helping courts to correct inefficiencies and to manage the personnel distribution, overcoming the critical comments arisen against traditional KPI (Raine, 2000). The work proposes a methodology to analyse cases deriving from different juridical matters useful to set up a performance monitoring system that could be diffused to different courts.\n            \n            \n              Research limitations/implications\n              The limitations of the research regard the analysis of a selected, limited number of cases in terms of judicial matters.\n            \n            \n              Practical implications\n              Data mining techniques can improve the performance management processes in providing more accurate feedback to the judicial offices leaders and increasing the organisational learning.\n            \n            \n              Social implications\n              The performance of the judiciary is one of the relevant issues that emerged in the recent decade in the field of public sector reforms. Several reasons explain this interest, which has gone beyond the specific legal disciplines to involve public policy, management, economics and ICT studies.\n            \n            \n              Originality/value\n              \n                Considering the literature on the judiciary (Visser\n                et al.\n                , 2019; Di Martino\n                et al.\n                , 2021; Troisi and Alfano, 2023) the contribution differs as both the methodological approach and the predictive analysis considers the intrinsic differences that define cases belonging to different juridical matters performing a cross-sectional analysis, with a specific focus of process variants.","container-title":"International Journal of Public Sector Management","DOI":"10.1108/IJPSM-02-2023-0058","ISSN":"0951-3558","issue":"1","journalAbbreviation":"IJPSM","language":"en","license":"https://www.emerald.com/insight/site-policies","page":"59-76","source":"DOI.org (Crossref)","title":"Improving the analysis of the judiciary performance - the use of data mining techniques to assess the timeliness of civil trials","URL":"http://www.emerald.com/ijpsm/article/37/1/59-76/1235523","volume":"37","author":[{"family":"Pernici","given":"Barbara"},{"family":"Bono","given":"Carlo Alberto"},{"family":"Piro","given":"Ludovica"},{"family":"Del Treste","given":"Mattia"},{"family":"Vecchi","given":"Giancarlo"}],"accessed":{"date-parts":[["2026",7,16]]},"issued":{"date-parts":[["2024",1,2]]}}}],"schema":"https://github.com/citation-style-language/schema/raw/master/csl-citation.json"} </w:instrText>
      </w:r>
      <w:r>
        <w:fldChar w:fldCharType="separate"/>
      </w:r>
      <w:r>
        <w:rPr>
          <w:rFonts w:ascii="Times New Roman" w:hAnsi="Times New Roman" w:cs="Times New Roman"/>
          <w:lang w:val="en-US"/>
        </w:rPr>
        <w:t>[1], [2], [3]</w:t>
      </w:r>
      <w:r>
        <w:rPr>
          <w:rFonts w:ascii="Times New Roman" w:hAnsi="Times New Roman" w:cs="Times New Roman"/>
          <w:lang w:val="en-US"/>
        </w:rPr>
        <w:fldChar w:fldCharType="end"/>
      </w:r>
      <w:r>
        <w:rPr>
          <w:rFonts w:ascii="Times New Roman" w:hAnsi="Times New Roman" w:cs="Times New Roman"/>
          <w:lang w:val="en-US"/>
        </w:rPr>
        <w:t xml:space="preserve">. While some studies combine tree-based models with explainability techniques to improve the interpretation of predictions, others incorporate process mining and temporal analysis to identify bottlenecks, measure procedural duration, and evaluate institutional performance using administrative data </w:t>
      </w:r>
      <w:r>
        <w:fldChar w:fldCharType="begin"/>
      </w:r>
      <w:r>
        <w:rPr>
          <w:rFonts w:ascii="Times New Roman" w:hAnsi="Times New Roman" w:cs="Times New Roman"/>
          <w:lang w:val="en-US"/>
        </w:rPr>
        <w:instrText xml:space="preserve"> ADDIN ZOTERO_ITEM CSL_CITATION {"citationID":"4h7h3nGT","properties":{"unsorted":false,"formattedCitation":"[1], [3]","plainCitation":"[1], [3]","noteIndex":0},"citationItems":[{"id":51,"uris":["http://zotero.org/users/local/0z44BwR0/items/BFRWF9E5"],"itemData":{"id":51,"type":"article-journal","abstract":"This paper investigates court congestion through a field study conducted at the Jerusalem District Court in Israel, aiming to reduce case processing time by adapting successful operational concepts to this unique environment. Using a modified difference-in-differences approach, the study suggests a notable 46.1% reduction in the duration of the treated part of the judicial process, demonstrating the efficacy of operational management tools in alleviating court congestion without compromising process quality or requiring additional resources.\n          , \n            Court congestion is a worldwide phenomenon with negative societal effects such as delayed access to justice and drawn-out procedures, as well as negative economic ramifications. In this paper, we report on a field study conducted in cooperation with the Jerusalem District Court in Israel with the aim of reducing average case processing time within the existing set of resources. To achieve this goal, we analyzed the judicial process using operational concepts that have been successfully implemented in other contexts, and we adapted them to the court process. We further collected data before and after the operational changes were implemented to assess the efficacy of the implementation. We exploited the distinctive structure of the judicial process and the fact that our operational changes targeted one part of that process to propose a variation of the difference-in-differences approach to measure the process improvement. The results suggest that the duration of the treated part of the process was reduced by 46.1% postimplementation. We further examined the effect of the treatment on the quality of the process, measured by appeal rate, and found no adverse effect. These analyses demonstrate the potential of using operational management tools and concepts to improve judicial processes and to contribute to the alleviation of court congestion.","container-title":"INFORMS Journal on Applied Analytics","DOI":"10.1287/inte.2023.0026","ISSN":"2644-0865, 2644-0873","issue":"3","journalAbbreviation":"INFORMS Journal on Applied Analytics","language":"en","page":"267-281","source":"DOI.org (Crossref)","title":"Alleviating Court Congestion: The Case of the Jerusalem District Court","title-short":"Alleviating Court Congestion","URL":"https://pubsonline.informs.org/doi/10.1287/inte.2023.0026","volume":"54","author":[{"family":"Azaria","given":"Shany"},{"family":"Ronen","given":"Boaz"},{"family":"Shamir","given":"Noam"}],"accessed":{"date-parts":[["2026",7,16]]},"issued":{"date-parts":[["2024",5]]}}},{"id":53,"uris":["http://zotero.org/users/local/0z44BwR0/items/T5H6WSC5"],"itemData":{"id":53,"type":"article-journal","abstract":"Purpose\n              The purpose of this paper is to show how data mining techniques can improve the performance management of the judiciary, helping judges in steering position with specific and timely measures. It explores different approaches to analyse the length of trials, based on the case of an Italian judicial office.\n            \n            \n              Design/methodology/approach\n              The paper presents a temporal analysis to compare the timeliness of trials, using data and process mining approaches with the support of a specific software to represent graphically the results. Data were gathered directly from the office data base, improving precision and the opportunity to monitor specific phases of the trials.\n            \n            \n              Findings\n              The results highlight the progress that can be reached using data mining approaches to develop performance analyses helping courts to correct inefficiencies and to manage the personnel distribution, overcoming the critical comments arisen against traditional KPI (Raine, 2000). The work proposes a methodology to analyse cases deriving from different juridical matters useful to set up a performance monitoring system that could be diffused to different courts.\n            \n            \n              Research limitations/implications\n              The limitations of the research regard the analysis of a selected, limited number of cases in terms of judicial matters.\n            \n            \n              Practical implications\n              Data mining techniques can improve the performance management processes in providing more accurate feedback to the judicial offices leaders and increasing the organisational learning.\n            \n            \n              Social implications\n              The performance of the judiciary is one of the relevant issues that emerged in the recent decade in the field of public sector reforms. Several reasons explain this interest, which has gone beyond the specific legal disciplines to involve public policy, management, economics and ICT studies.\n            \n            \n              Originality/value\n              \n                Considering the literature on the judiciary (Visser\n                et al.\n                , 2019; Di Martino\n                et al.\n                , 2021; Troisi and Alfano, 2023) the contribution differs as both the methodological approach and the predictive analysis considers the intrinsic differences that define cases belonging to different juridical matters performing a cross-sectional analysis, with a specific focus of process variants.","container-title":"International Journal of Public Sector Management","DOI":"10.1108/IJPSM-02-2023-0058","ISSN":"0951-3558","issue":"1","journalAbbreviation":"IJPSM","language":"en","license":"https://www.emerald.com/insight/site-policies","page":"59-76","source":"DOI.org (Crossref)","title":"Improving the analysis of the judiciary performance - the use of data mining techniques to assess the timeliness of civil trials","URL":"http://www.emerald.com/ijpsm/article/37/1/59-76/1235523","volume":"37","author":[{"family":"Pernici","given":"Barbara"},{"family":"Bono","given":"Carlo Alberto"},{"family":"Piro","given":"Ludovica"},{"family":"Del Treste","given":"Mattia"},{"family":"Vecchi","given":"Giancarlo"}],"accessed":{"date-parts":[["2026",7,16]]},"issued":{"date-parts":[["2024",1,2]]}}}],"schema":"https://github.com/citation-style-language/schema/raw/master/csl-citation.json"} </w:instrText>
      </w:r>
      <w:r>
        <w:fldChar w:fldCharType="separate"/>
      </w:r>
      <w:r>
        <w:rPr>
          <w:rFonts w:ascii="Times New Roman" w:hAnsi="Times New Roman" w:cs="Times New Roman"/>
          <w:lang w:val="en-US"/>
        </w:rPr>
        <w:t>[1], [3]</w:t>
      </w:r>
      <w:r>
        <w:rPr>
          <w:rFonts w:ascii="Times New Roman" w:hAnsi="Times New Roman" w:cs="Times New Roman"/>
          <w:lang w:val="en-US"/>
        </w:rPr>
        <w:fldChar w:fldCharType="end"/>
      </w:r>
      <w:r>
        <w:rPr>
          <w:rFonts w:ascii="Times New Roman" w:hAnsi="Times New Roman" w:cs="Times New Roman"/>
          <w:lang w:val="en-US"/>
        </w:rPr>
        <w:t>. Although both approaches have demonstrated promising results, each addresses only part of the problem, and neither simultaneously integrates temporal validation strategies, data leakage prevention, and robust feature selection within a single methodological framework.</w:t>
      </w:r>
    </w:p>
    <w:p w14:paraId="0304104F" w14:textId="77777777" w:rsidR="00000000" w:rsidRDefault="00000000">
      <w:pPr>
        <w:snapToGrid w:val="0"/>
        <w:ind w:firstLine="360"/>
        <w:jc w:val="both"/>
        <w:rPr>
          <w:rFonts w:ascii="Times New Roman" w:hAnsi="Times New Roman" w:cs="Times New Roman"/>
          <w:lang w:val="en-US"/>
        </w:rPr>
      </w:pPr>
      <w:r>
        <w:rPr>
          <w:rFonts w:ascii="Times New Roman" w:hAnsi="Times New Roman" w:cs="Times New Roman"/>
          <w:lang w:val="en-US"/>
        </w:rPr>
        <w:t xml:space="preserve">Although these studies demonstrate that administrative records can be used to model operational congestion with promising results, their methodological scope remains limited. In particular, they focus on judicial scenarios following the prosecutorial investigation stage, employ context-specific modeling strategies, and do not integrate mechanisms to simultaneously address issues such as robust feature selection, data leakage, and temporal validation. These limitations restrict the reproducibility and generalizability of the models to real-world operational scenarios. This evolution is also </w:t>
      </w:r>
      <w:r>
        <w:rPr>
          <w:rFonts w:ascii="Times New Roman" w:hAnsi="Times New Roman" w:cs="Times New Roman"/>
          <w:lang w:val="en-US"/>
        </w:rPr>
        <w:lastRenderedPageBreak/>
        <w:t xml:space="preserve">reflected in recent review studies, which highlight a transition from isolated predictive models toward comprehensive frameworks for the intelligent management of judicial systems </w:t>
      </w:r>
      <w:r>
        <w:fldChar w:fldCharType="begin"/>
      </w:r>
      <w:r>
        <w:rPr>
          <w:rFonts w:ascii="Times New Roman" w:hAnsi="Times New Roman" w:cs="Times New Roman"/>
          <w:lang w:val="en-US"/>
        </w:rPr>
        <w:instrText xml:space="preserve"> ADDIN ZOTERO_ITEM CSL_CITATION {"citationID":"9bXDa6XX","properties":{"unsorted":false,"formattedCitation":"[4]","plainCitation":"[4]","noteIndex":0},"citationItems":[{"id":46,"uris":["http://zotero.org/users/local/0z44BwR0/items/LKFYH7FS"],"itemData":{"id":46,"type":"chapter","container-title":"Intelligence-Driven Circular Economy","DOI":"10.1007/978-3-031-74220-0_50","ISBN":"978-3-031-74219-4","language":"en","note":"collection-title: Studies in Computational Intelligence","page":"641-649","publisher":"Springer Nature Switzerland","publisher-place":"Cham","source":"DOI.org (Crossref)","title":"Artificial Intelligence and the Law: The Complexities of Technology and Legalities","title-short":"Artificial Intelligence and the Law","URL":"https://link.springer.com/10.1007/978-3-031-74220-0_50","volume":"1174","editor":[{"family":"Hannoon","given":"Azzam"},{"family":"Mahmood","given":"Abdullah"}],"author":[{"family":"Alhalalmeh","given":"Al-Hareth"},{"family":"Al-Tarawneh","given":"Alalddin"}],"accessed":{"date-parts":[["2026",7,16]]},"issued":{"date-parts":[["2025"]]}}}],"schema":"https://github.com/citation-style-language/schema/raw/master/csl-citation.json"} </w:instrText>
      </w:r>
      <w:r>
        <w:fldChar w:fldCharType="separate"/>
      </w:r>
      <w:r>
        <w:rPr>
          <w:rFonts w:ascii="Times New Roman" w:hAnsi="Times New Roman" w:cs="Times New Roman"/>
          <w:lang w:val="en-US"/>
        </w:rPr>
        <w:t>[4]</w:t>
      </w:r>
      <w:r>
        <w:rPr>
          <w:rFonts w:ascii="Times New Roman" w:hAnsi="Times New Roman" w:cs="Times New Roman"/>
          <w:lang w:val="en-US"/>
        </w:rPr>
        <w:fldChar w:fldCharType="end"/>
      </w:r>
      <w:r>
        <w:rPr>
          <w:rFonts w:ascii="Times New Roman" w:hAnsi="Times New Roman" w:cs="Times New Roman"/>
          <w:lang w:val="en-US"/>
        </w:rPr>
        <w:t>.</w:t>
      </w:r>
    </w:p>
    <w:p w14:paraId="4DF2614B" w14:textId="77777777" w:rsidR="00000000" w:rsidRDefault="00000000">
      <w:pPr>
        <w:snapToGrid w:val="0"/>
        <w:ind w:firstLine="360"/>
        <w:jc w:val="both"/>
      </w:pPr>
      <w:r>
        <w:rPr>
          <w:rFonts w:ascii="Times New Roman" w:hAnsi="Times New Roman" w:cs="Times New Roman"/>
          <w:lang w:val="en-US"/>
        </w:rPr>
        <w:t>Overall, the literature indicates that the primary challenge no longer lies solely in applying predictive algorithms to the judicial domain, but rather in integrating robust feature selection, explicit data leakage prevention, temporal validation, and explainability within a single methodological framework to ensure reproducible and transferable models for real-world operational scenarios. In this context, the present study proposes a framework that integrates these components in a unified manner within the prosecutorial domain.</w:t>
      </w:r>
    </w:p>
    <w:p w14:paraId="668B55BC" w14:textId="77777777" w:rsidR="00000000" w:rsidRDefault="00000000">
      <w:pPr>
        <w:pStyle w:val="Ttulo2"/>
      </w:pPr>
      <w:r>
        <w:t>B. Feature Selection: Filter, Wrapper, Embedded, and Ensemble Approaches</w:t>
      </w:r>
    </w:p>
    <w:p w14:paraId="0A64F5D3" w14:textId="77777777" w:rsidR="00000000" w:rsidRDefault="00000000">
      <w:pPr>
        <w:snapToGrid w:val="0"/>
        <w:ind w:firstLine="360"/>
        <w:jc w:val="both"/>
        <w:rPr>
          <w:rFonts w:ascii="Times New Roman" w:hAnsi="Times New Roman" w:cs="Times New Roman"/>
          <w:lang w:val="en-US"/>
        </w:rPr>
      </w:pPr>
      <w:r>
        <w:rPr>
          <w:rFonts w:ascii="Times New Roman" w:hAnsi="Times New Roman" w:cs="Times New Roman"/>
          <w:lang w:val="en-US"/>
        </w:rPr>
        <w:t xml:space="preserve">Among the most relevant methodological components for building robust predictive models, feature selection has assumed a central role due to its impact on the stability, interpretability, and generalization capability of classifiers. In contrast, wrapper methods explore these interactions using the predictive performance of the classifier, but they require greater computational cost </w:t>
      </w:r>
      <w:r>
        <w:fldChar w:fldCharType="begin"/>
      </w:r>
      <w:r>
        <w:rPr>
          <w:rFonts w:ascii="Times New Roman" w:hAnsi="Times New Roman" w:cs="Times New Roman"/>
          <w:lang w:val="en-US"/>
        </w:rPr>
        <w:instrText xml:space="preserve"> ADDIN ZOTERO_ITEM CSL_CITATION {"citationID":"BrqBYwMm","properties":{"unsorted":false,"formattedCitation":"[5]","plainCitation":"[5]","noteIndex":0},"citationItems":[{"id":55,"uris":["http://zotero.org/users/local/0z44BwR0/items/U2WZJDA6"],"itemData":{"id":55,"type":"article-journal","container-title":"Information Sciences","DOI":"10.1016/j.ins.2024.121084","ISSN":"00200255","journalAbbreviation":"Information Sciences","language":"en","page":"121084","source":"DOI.org (Crossref)","title":"An efficient ensemble learning method based on multi-objective feature selection","URL":"https://linkinghub.elsevier.com/retrieve/pii/S0020025524009988","volume":"679","author":[{"family":"Zhou","given":"Xiaojun"},{"family":"Yuan","given":"Weijun"},{"family":"Gao","given":"Qian"},{"family":"Yang","given":"Chunhua"}],"accessed":{"date-parts":[["2026",7,16]]},"issued":{"date-parts":[["2024",9]]}}}],"schema":"https://github.com/citation-style-language/schema/raw/master/csl-citation.json"} </w:instrText>
      </w:r>
      <w:r>
        <w:fldChar w:fldCharType="separate"/>
      </w:r>
      <w:r>
        <w:rPr>
          <w:rFonts w:ascii="Times New Roman" w:hAnsi="Times New Roman" w:cs="Times New Roman"/>
          <w:lang w:val="en-US"/>
        </w:rPr>
        <w:t>[5]</w:t>
      </w:r>
      <w:r>
        <w:rPr>
          <w:rFonts w:ascii="Times New Roman" w:hAnsi="Times New Roman" w:cs="Times New Roman"/>
          <w:lang w:val="en-US"/>
        </w:rPr>
        <w:fldChar w:fldCharType="end"/>
      </w:r>
      <w:r>
        <w:rPr>
          <w:rFonts w:ascii="Times New Roman" w:hAnsi="Times New Roman" w:cs="Times New Roman"/>
          <w:lang w:val="en-US"/>
        </w:rPr>
        <w:t xml:space="preserve">. Embedded methods balance both aspects by incorporating feature selection during model training; however, their performance continues to depend on the algorithm employed. These differences have motivated the development of consensus-based feature selection strategies that seek to combine the strengths of multiple approaches and reduce the variability of the final feature subset </w:t>
      </w:r>
      <w:r>
        <w:fldChar w:fldCharType="begin"/>
      </w:r>
      <w:r>
        <w:rPr>
          <w:rFonts w:ascii="Times New Roman" w:hAnsi="Times New Roman" w:cs="Times New Roman"/>
          <w:lang w:val="en-US"/>
        </w:rPr>
        <w:instrText xml:space="preserve"> ADDIN ZOTERO_ITEM CSL_CITATION {"citationID":"sytEnErL","properties":{"unsorted":false,"formattedCitation":"[6]","plainCitation":"[6]","noteIndex":0},"citationItems":[{"id":56,"uris":["http://zotero.org/users/local/0z44BwR0/items/RGQH426I"],"itemData":{"id":56,"type":"article-journal","container-title":"Engineering Applications of Artificial Intelligence","DOI":"10.1016/j.engappai.2023.107136","ISSN":"09521976","journalAbbreviation":"Engineering Applications of Artificial Intelligence","language":"en","page":"107136","source":"DOI.org (Crossref)","title":"A tutorial-based survey on feature selection: Recent advancements on feature selection","title-short":"A tutorial-based survey on feature selection","URL":"https://linkinghub.elsevier.com/retrieve/pii/S0952197623013209","volume":"126","author":[{"family":"Moslemi","given":"Amir"}],"accessed":{"date-parts":[["2026",7,16]]},"issued":{"date-parts":[["2023",11]]}}}],"schema":"https://github.com/citation-style-language/schema/raw/master/csl-citation.json"} </w:instrText>
      </w:r>
      <w:r>
        <w:fldChar w:fldCharType="separate"/>
      </w:r>
      <w:r>
        <w:rPr>
          <w:rFonts w:ascii="Times New Roman" w:hAnsi="Times New Roman" w:cs="Times New Roman"/>
          <w:lang w:val="en-US"/>
        </w:rPr>
        <w:t>[6]</w:t>
      </w:r>
      <w:r>
        <w:rPr>
          <w:rFonts w:ascii="Times New Roman" w:hAnsi="Times New Roman" w:cs="Times New Roman"/>
          <w:lang w:val="en-US"/>
        </w:rPr>
        <w:fldChar w:fldCharType="end"/>
      </w:r>
      <w:r>
        <w:rPr>
          <w:rFonts w:ascii="Times New Roman" w:hAnsi="Times New Roman" w:cs="Times New Roman"/>
          <w:lang w:val="en-US"/>
        </w:rPr>
        <w:t xml:space="preserve">. In turn, all-relevant embedded feature selectors, such as the Boruta algorithm, compare the importance of each feature against randomized copies (shadow features) using a Random Forest, providing a statistically supported relevance test rather than a minimum-optimal feature subset </w:t>
      </w:r>
      <w:r>
        <w:fldChar w:fldCharType="begin"/>
      </w:r>
      <w:r>
        <w:rPr>
          <w:rFonts w:ascii="Times New Roman" w:hAnsi="Times New Roman" w:cs="Times New Roman"/>
          <w:lang w:val="en-US"/>
        </w:rPr>
        <w:instrText xml:space="preserve"> ADDIN ZOTERO_ITEM CSL_CITATION {"citationID":"b9FSF8Eq","properties":{"unsorted":false,"formattedCitation":"[7]","plainCitation":"[7]","noteIndex":0},"citationItems":[{"id":38,"uris":["http://zotero.org/users/local/0z44BwR0/items/ADXPD44F"],"itemData":{"id":38,"type":"article-journal","container-title":"Journal of Statistical Software","DOI":"10.18637/jss.v036.i11","issue":"11","title":"Feature Selection with theBorutaPackage","URL":"https://doi.org/10.18637/jss.v036.i11","volume":"36","author":[{"family":"Kursa","given":"Miron B."},{"family":"Rudnicki","given":"Witold R."}],"issued":{"date-parts":[["2010",1]]}}}],"schema":"https://github.com/citation-style-language/schema/raw/master/csl-citation.json"} </w:instrText>
      </w:r>
      <w:r>
        <w:fldChar w:fldCharType="separate"/>
      </w:r>
      <w:r>
        <w:rPr>
          <w:rFonts w:ascii="Times New Roman" w:hAnsi="Times New Roman" w:cs="Times New Roman"/>
          <w:lang w:val="en-US"/>
        </w:rPr>
        <w:t>[7]</w:t>
      </w:r>
      <w:r>
        <w:rPr>
          <w:rFonts w:ascii="Times New Roman" w:hAnsi="Times New Roman" w:cs="Times New Roman"/>
          <w:lang w:val="en-US"/>
        </w:rPr>
        <w:fldChar w:fldCharType="end"/>
      </w:r>
      <w:r>
        <w:rPr>
          <w:rFonts w:ascii="Times New Roman" w:hAnsi="Times New Roman" w:cs="Times New Roman"/>
          <w:lang w:val="en-US"/>
        </w:rPr>
        <w:t>.</w:t>
      </w:r>
    </w:p>
    <w:p w14:paraId="5E37620A" w14:textId="77777777" w:rsidR="00000000" w:rsidRDefault="00000000">
      <w:pPr>
        <w:snapToGrid w:val="0"/>
        <w:ind w:firstLine="360"/>
        <w:jc w:val="both"/>
        <w:rPr>
          <w:rFonts w:ascii="Times New Roman" w:hAnsi="Times New Roman" w:cs="Times New Roman"/>
          <w:lang w:val="en-US"/>
        </w:rPr>
      </w:pPr>
      <w:r>
        <w:rPr>
          <w:rFonts w:ascii="Times New Roman" w:hAnsi="Times New Roman" w:cs="Times New Roman"/>
          <w:lang w:val="en-US"/>
        </w:rPr>
        <w:t xml:space="preserve">Because individual feature selectors often produce different results in the presence of highly correlated variables, their isolated use may generate unstable feature subsets that depend on the selected algorithm. Consequently, ensemble feature selection has emerged as an alternative for increasing the robustness and stability of the process through the aggregation of multiple selection criteria </w:t>
      </w:r>
      <w:r>
        <w:fldChar w:fldCharType="begin"/>
      </w:r>
      <w:r>
        <w:rPr>
          <w:rFonts w:ascii="Times New Roman" w:hAnsi="Times New Roman" w:cs="Times New Roman"/>
          <w:lang w:val="en-US"/>
        </w:rPr>
        <w:instrText xml:space="preserve"> ADDIN ZOTERO_ITEM CSL_CITATION {"citationID":"yQxhDXxs","properties":{"unsorted":false,"formattedCitation":"[5]","plainCitation":"[5]","noteIndex":0},"citationItems":[{"id":55,"uris":["http://zotero.org/users/local/0z44BwR0/items/U2WZJDA6"],"itemData":{"id":55,"type":"article-journal","container-title":"Information Sciences","DOI":"10.1016/j.ins.2024.121084","ISSN":"00200255","journalAbbreviation":"Information Sciences","language":"en","page":"121084","source":"DOI.org (Crossref)","title":"An efficient ensemble learning method based on multi-objective feature selection","URL":"https://linkinghub.elsevier.com/retrieve/pii/S0020025524009988","volume":"679","author":[{"family":"Zhou","given":"Xiaojun"},{"family":"Yuan","given":"Weijun"},{"family":"Gao","given":"Qian"},{"family":"Yang","given":"Chunhua"}],"accessed":{"date-parts":[["2026",7,16]]},"issued":{"date-parts":[["2024",9]]}}}],"schema":"https://github.com/citation-style-language/schema/raw/master/csl-citation.json"} </w:instrText>
      </w:r>
      <w:r>
        <w:fldChar w:fldCharType="separate"/>
      </w:r>
      <w:r>
        <w:rPr>
          <w:rFonts w:ascii="Times New Roman" w:hAnsi="Times New Roman" w:cs="Times New Roman"/>
          <w:lang w:val="en-US"/>
        </w:rPr>
        <w:t>[5]</w:t>
      </w:r>
      <w:r>
        <w:rPr>
          <w:rFonts w:ascii="Times New Roman" w:hAnsi="Times New Roman" w:cs="Times New Roman"/>
          <w:lang w:val="en-US"/>
        </w:rPr>
        <w:fldChar w:fldCharType="end"/>
      </w:r>
      <w:r>
        <w:rPr>
          <w:rFonts w:ascii="Times New Roman" w:hAnsi="Times New Roman" w:cs="Times New Roman"/>
          <w:lang w:val="en-US"/>
        </w:rPr>
        <w:t>.</w:t>
      </w:r>
    </w:p>
    <w:p w14:paraId="0DB8F0ED" w14:textId="77777777" w:rsidR="00000000" w:rsidRDefault="00000000">
      <w:pPr>
        <w:snapToGrid w:val="0"/>
        <w:ind w:firstLine="360"/>
        <w:jc w:val="both"/>
        <w:rPr>
          <w:rFonts w:ascii="Times New Roman" w:hAnsi="Times New Roman" w:cs="Times New Roman"/>
          <w:lang w:val="en-US"/>
        </w:rPr>
      </w:pPr>
      <w:r>
        <w:rPr>
          <w:rFonts w:ascii="Times New Roman" w:hAnsi="Times New Roman" w:cs="Times New Roman"/>
          <w:lang w:val="en-US"/>
        </w:rPr>
        <w:t>From this perspective, the proposed framework implements a consensus based on six complementary methods—two filter methods (MI and ANOVA), one filter method for categorical variables (</w:t>
      </w:r>
      <w:r>
        <w:rPr>
          <w:rFonts w:ascii="Times New Roman" w:hAnsi="Times New Roman" w:cs="Times New Roman"/>
          <w:lang w:val="es-PE"/>
        </w:rPr>
        <w:t>χ</w:t>
      </w:r>
      <w:r>
        <w:rPr>
          <w:rFonts w:ascii="Times New Roman" w:hAnsi="Times New Roman" w:cs="Times New Roman"/>
          <w:lang w:val="en-US"/>
        </w:rPr>
        <w:t>²), one embedded method (Random Forest), and two wrapper methods (Boruta and RFECV)—with the aim of combining methodological strengths and reducing dependence on a single feature selection algorithm. This process is preceded by an explicit multicollinearity audit using the Pearson correlation coefficient and Cramér's V coefficient.</w:t>
      </w:r>
    </w:p>
    <w:p w14:paraId="0AFF7F08" w14:textId="77777777" w:rsidR="00000000" w:rsidRDefault="00000000">
      <w:pPr>
        <w:snapToGrid w:val="0"/>
        <w:ind w:firstLine="360"/>
        <w:jc w:val="both"/>
      </w:pPr>
      <w:r>
        <w:rPr>
          <w:rFonts w:ascii="Times New Roman" w:hAnsi="Times New Roman" w:cs="Times New Roman"/>
          <w:lang w:val="en-US"/>
        </w:rPr>
        <w:t xml:space="preserve">Although several studies have proposed individual feature selection strategies, the literature still reports limited integration between feature space quality auditing, consensus-based feature selection, and evaluation using explainable models within a reproducible methodological workflow. The strategy adopted in this work responds precisely to this need </w:t>
      </w:r>
      <w:r>
        <w:rPr>
          <w:rFonts w:ascii="Times New Roman" w:hAnsi="Times New Roman" w:cs="Times New Roman"/>
          <w:lang w:val="en-US"/>
        </w:rPr>
        <w:t>by integrating complementary approaches into a single robust feature selection stage.</w:t>
      </w:r>
    </w:p>
    <w:p w14:paraId="06B8FB99" w14:textId="77777777" w:rsidR="00000000" w:rsidRDefault="00000000">
      <w:pPr>
        <w:pStyle w:val="Ttulo2"/>
      </w:pPr>
      <w:r>
        <w:t>C. Class Imbalance, Data Leakage, and Temporal Validation</w:t>
      </w:r>
    </w:p>
    <w:p w14:paraId="0198DE13" w14:textId="77777777" w:rsidR="00000000" w:rsidRDefault="00000000">
      <w:pPr>
        <w:snapToGrid w:val="0"/>
        <w:ind w:firstLine="360"/>
        <w:jc w:val="both"/>
        <w:rPr>
          <w:rFonts w:ascii="Times New Roman" w:hAnsi="Times New Roman" w:cs="Times New Roman"/>
          <w:lang w:val="en-US"/>
        </w:rPr>
      </w:pPr>
      <w:r>
        <w:rPr>
          <w:rFonts w:ascii="Times New Roman" w:hAnsi="Times New Roman" w:cs="Times New Roman"/>
          <w:lang w:val="en-US"/>
        </w:rPr>
        <w:t xml:space="preserve">Risk classification tasks based on administrative datasets often exhibit substantial class imbalance, which motivates the use of resampling techniques such as SMOTE, which generates synthetic instances of the minority class through linear interpolation in the feature space </w:t>
      </w:r>
      <w:r>
        <w:fldChar w:fldCharType="begin"/>
      </w:r>
      <w:r>
        <w:rPr>
          <w:rFonts w:ascii="Times New Roman" w:hAnsi="Times New Roman" w:cs="Times New Roman"/>
          <w:lang w:val="en-US"/>
        </w:rPr>
        <w:instrText xml:space="preserve"> ADDIN ZOTERO_ITEM CSL_CITATION {"citationID":"PoCi7t3K","properties":{"unsorted":false,"formattedCitation":"[8]","plainCitation":"[8]","noteIndex":0},"citationItems":[{"id":40,"uris":["http://zotero.org/users/local/0z44BwR0/items/462VCJPK"],"itemData":{"id":40,"type":"article-journal","container-title":"Journal of Artificial Intelligence Research","DOI":"10.1613/jair.953","page":"321–357","title":"SMOTE: Synthetic Minority Over-sampling technique","URL":"https://doi.org/10.1613/jair.953","volume":"16","author":[{"family":"Chawla","given":"N. V."},{"family":"Bowyer","given":"K. W."},{"family":"Hall","given":"L. O."},{"family":"Kegelmeyer","given":"W. P."}],"issued":{"date-parts":[["2002",6]]}}}],"schema":"https://github.com/citation-style-language/schema/raw/master/csl-citation.json"} </w:instrText>
      </w:r>
      <w:r>
        <w:fldChar w:fldCharType="separate"/>
      </w:r>
      <w:r>
        <w:rPr>
          <w:rFonts w:ascii="Times New Roman" w:hAnsi="Times New Roman" w:cs="Times New Roman"/>
          <w:lang w:val="en-US"/>
        </w:rPr>
        <w:t>[8]</w:t>
      </w:r>
      <w:r>
        <w:rPr>
          <w:rFonts w:ascii="Times New Roman" w:hAnsi="Times New Roman" w:cs="Times New Roman"/>
          <w:lang w:val="en-US"/>
        </w:rPr>
        <w:fldChar w:fldCharType="end"/>
      </w:r>
      <w:r>
        <w:rPr>
          <w:rFonts w:ascii="Times New Roman" w:hAnsi="Times New Roman" w:cs="Times New Roman"/>
          <w:lang w:val="en-US"/>
        </w:rPr>
        <w:t xml:space="preserve">. The proposed framework avoids synthetic resampling, instead adopting class weighting for compatible models (Section III.D.2), since the observed class imbalance (86%/14%) did not require an artificial expansion of the sample space. Nevertheless, a critical and frequently overlooked concern in this domain is data leakage; indeed, systematic reviews have confirmed that this methodological flaw compromises the validity of hundreds of machine learning studies across multiple disciplines, commonly induced by computing preprocessing statistics on the entire dataset before data partitioning </w:t>
      </w:r>
      <w:r>
        <w:fldChar w:fldCharType="begin"/>
      </w:r>
      <w:r>
        <w:rPr>
          <w:rFonts w:ascii="Times New Roman" w:hAnsi="Times New Roman" w:cs="Times New Roman"/>
          <w:lang w:val="en-US"/>
        </w:rPr>
        <w:instrText xml:space="preserve"> ADDIN ZOTERO_ITEM CSL_CITATION {"citationID":"IR1zRZer","properties":{"unsorted":false,"formattedCitation":"[9]","plainCitation":"[9]","noteIndex":0},"citationItems":[{"id":41,"uris":["http://zotero.org/users/local/0z44BwR0/items/J6A9GNPX"],"itemData":{"id":41,"type":"article-journal","container-title":"Patterns","DOI":"10.1016/j.patter.2023.100804","issue":"9","page":"100804","title":"Leakage and the reproducibility crisis in machine-learning-based science","URL":"https://doi.org/10.1016/j.patter.2023.100804","volume":"4","author":[{"family":"Kapoor","given":"Sayash"},{"family":"Narayanan","given":"Arvind"}],"issued":{"date-parts":[["2023",8]]}}}],"schema":"https://github.com/citation-style-language/schema/raw/master/csl-citation.json"} </w:instrText>
      </w:r>
      <w:r>
        <w:fldChar w:fldCharType="separate"/>
      </w:r>
      <w:r>
        <w:rPr>
          <w:rFonts w:ascii="Times New Roman" w:hAnsi="Times New Roman" w:cs="Times New Roman"/>
          <w:lang w:val="en-US"/>
        </w:rPr>
        <w:t>[9]</w:t>
      </w:r>
      <w:r>
        <w:rPr>
          <w:rFonts w:ascii="Times New Roman" w:hAnsi="Times New Roman" w:cs="Times New Roman"/>
          <w:lang w:val="en-US"/>
        </w:rPr>
        <w:fldChar w:fldCharType="end"/>
      </w:r>
      <w:r>
        <w:rPr>
          <w:rFonts w:ascii="Times New Roman" w:hAnsi="Times New Roman" w:cs="Times New Roman"/>
          <w:lang w:val="en-US"/>
        </w:rPr>
        <w:t>.</w:t>
      </w:r>
    </w:p>
    <w:p w14:paraId="608C28EF" w14:textId="77777777" w:rsidR="00000000" w:rsidRDefault="00000000">
      <w:pPr>
        <w:snapToGrid w:val="0"/>
        <w:ind w:firstLine="360"/>
        <w:jc w:val="both"/>
      </w:pPr>
      <w:r>
        <w:rPr>
          <w:rFonts w:ascii="Times New Roman" w:hAnsi="Times New Roman" w:cs="Times New Roman"/>
          <w:lang w:val="en-US"/>
        </w:rPr>
        <w:t xml:space="preserve">Temporal validation and restricting preprocessing exclusively to the training set are widely recommended to prevent information leakage and ensure reproducible evaluation </w:t>
      </w:r>
      <w:r>
        <w:fldChar w:fldCharType="begin"/>
      </w:r>
      <w:r>
        <w:rPr>
          <w:rFonts w:ascii="Times New Roman" w:hAnsi="Times New Roman" w:cs="Times New Roman"/>
          <w:lang w:val="en-US"/>
        </w:rPr>
        <w:instrText xml:space="preserve"> ADDIN ZOTERO_ITEM CSL_CITATION {"citationID":"Hxtm1WVW","properties":{"unsorted":false,"formattedCitation":"[9], [10]","plainCitation":"[9], [10]","noteIndex":0},"citationItems":[{"id":41,"uris":["http://zotero.org/users/local/0z44BwR0/items/J6A9GNPX"],"itemData":{"id":41,"type":"article-journal","container-title":"Patterns","DOI":"10.1016/j.patter.2023.100804","issue":"9","page":"100804","title":"Leakage and the reproducibility crisis in machine-learning-based science","URL":"https://doi.org/10.1016/j.patter.2023.100804","volume":"4","author":[{"family":"Kapoor","given":"Sayash"},{"family":"Narayanan","given":"Arvind"}],"issued":{"date-parts":[["2023",8]]}}},{"id":57,"uris":["http://zotero.org/users/local/0z44BwR0/items/SHSEKS2U"],"itemData":{"id":57,"type":"article","abstract":"Machine learning (ML) provides powerful tools for predictive modeling. ML's popularity stems from the promise of sample-level prediction with applications across a variety of fields from physics and marketing to healthcare. However, if not properly implemented and evaluated, ML pipelines may contain leakage typically resulting in overoptimistic performance estimates and failure to generalize to new data. This can have severe negative financial and societal implications. Our aim is to expand understanding associated with causes leading to leakage when designing, implementing, and evaluating ML pipelines. Illustrated by concrete examples, we provide a comprehensive overview and discussion of various types of leakage that may arise in ML pipelines.","DOI":"10.48550/ARXIV.2311.04179","license":"arXiv.org perpetual, non-exclusive license","note":"version: 2","publisher":"arXiv","source":"DOI.org (Datacite)","title":"On Leakage in Machine Learning Pipelines","URL":"https://arxiv.org/abs/2311.04179","author":[{"family":"Sasse","given":"Leonard"},{"family":"Nicolaisen-Sobesky","given":"Eliana"},{"family":"Dukart","given":"Juergen"},{"family":"Eickhoff","given":"Simon B."},{"family":"Götz","given":"Michael"},{"family":"Hamdan","given":"Sami"},{"family":"Komeyer","given":"Vera"},{"family":"Kulkarni","given":"Abhijit"},{"family":"Lahnakoski","given":"Juha"},{"family":"Love","given":"Bradley C."},{"family":"Raimondo","given":"Federico"},{"family":"Patil","given":"Kaustubh R."}],"accessed":{"date-parts":[["2026",7,16]]},"issued":{"date-parts":[["2023"]]}}}],"schema":"https://github.com/citation-style-language/schema/raw/master/csl-citation.json"} </w:instrText>
      </w:r>
      <w:r>
        <w:fldChar w:fldCharType="separate"/>
      </w:r>
      <w:r>
        <w:rPr>
          <w:rFonts w:ascii="Times New Roman" w:hAnsi="Times New Roman" w:cs="Times New Roman"/>
          <w:lang w:val="en-US"/>
        </w:rPr>
        <w:t>[9], [10]</w:t>
      </w:r>
      <w:r>
        <w:rPr>
          <w:rFonts w:ascii="Times New Roman" w:hAnsi="Times New Roman" w:cs="Times New Roman"/>
          <w:lang w:val="en-US"/>
        </w:rPr>
        <w:fldChar w:fldCharType="end"/>
      </w:r>
      <w:r>
        <w:rPr>
          <w:rFonts w:ascii="Times New Roman" w:hAnsi="Times New Roman" w:cs="Times New Roman"/>
          <w:lang w:val="en-US"/>
        </w:rPr>
        <w:t xml:space="preserve">; omitting these practices may lead to overly optimistic performance estimates and limit the reproducibility of the results </w:t>
      </w:r>
      <w:r>
        <w:fldChar w:fldCharType="begin"/>
      </w:r>
      <w:r>
        <w:rPr>
          <w:rFonts w:ascii="Times New Roman" w:hAnsi="Times New Roman" w:cs="Times New Roman"/>
          <w:lang w:val="en-US"/>
        </w:rPr>
        <w:instrText xml:space="preserve"> ADDIN ZOTERO_ITEM CSL_CITATION {"citationID":"0VNhLT1Z","properties":{"unsorted":false,"formattedCitation":"[11]","plainCitation":"[11]","noteIndex":0},"citationItems":[{"id":59,"uris":["http://zotero.org/users/local/0z44BwR0/items/FXGJIPBM"],"itemData":{"id":59,"type":"article","abstract":"The fast-paced development of machine learning (ML) methods coupled with its increasing adoption in research poses challenges for researchers without extensive training in ML. In neuroscience, for example, ML can help understand brain-behavior relationships, diagnose diseases, and develop biomarkers using various data sources like magnetic resonance imaging and electroencephalography. The primary objective of ML is to build models that can make accurate predictions on unseen data. Researchers aim to prove the existence of such generalizable models by evaluating performance using techniques such as cross-validation (CV), which uses systematic subsampling to estimate the generalization performance. Choosing a CV scheme and evaluating an ML pipeline can be challenging and, if used improperly, can lead to overestimated results and incorrect interpretations. We created julearn, an open-source Python library, that allow researchers to design and evaluate complex ML pipelines without encountering in common pitfalls. In this manuscript, we present the rationale behind julearn's design, its core features, and showcase three examples of previously-published research projects that can be easily implemented using this novel library. Julearn aims to simplify the entry into the ML world by providing an easy-to-use environment with built in guards against some of the most common ML pitfalls. With its design, unique features and simple interface, it poses as a useful Python-based library for research projects.","DOI":"10.48550/ARXIV.2310.12568","license":"Creative Commons Attribution Share Alike 4.0 International","note":"version: 1","publisher":"arXiv","source":"DOI.org (Datacite)","title":"Julearn: an easy-to-use library for leakage-free evaluation and inspection of ML models","title-short":"Julearn","URL":"https://arxiv.org/abs/2310.12568","author":[{"family":"Hamdan","given":"Sami"},{"family":"More","given":"Shammi"},{"family":"Sasse","given":"Leonard"},{"family":"Komeyer","given":"Vera"},{"family":"Patil","given":"Kaustubh R."},{"family":"Raimondo","given":"Federico"}],"accessed":{"date-parts":[["2026",7,16]]},"issued":{"date-parts":[["2023"]]}}}],"schema":"https://github.com/citation-style-language/schema/raw/master/csl-citation.json"} </w:instrText>
      </w:r>
      <w:r>
        <w:fldChar w:fldCharType="separate"/>
      </w:r>
      <w:r>
        <w:rPr>
          <w:rFonts w:ascii="Times New Roman" w:hAnsi="Times New Roman" w:cs="Times New Roman"/>
          <w:lang w:val="en-US"/>
        </w:rPr>
        <w:t>[11]</w:t>
      </w:r>
      <w:r>
        <w:rPr>
          <w:rFonts w:ascii="Times New Roman" w:hAnsi="Times New Roman" w:cs="Times New Roman"/>
          <w:lang w:val="en-US"/>
        </w:rPr>
        <w:fldChar w:fldCharType="end"/>
      </w:r>
      <w:r>
        <w:rPr>
          <w:rFonts w:ascii="Times New Roman" w:hAnsi="Times New Roman" w:cs="Times New Roman"/>
          <w:lang w:val="en-US"/>
        </w:rPr>
        <w:t xml:space="preserve">. In response, recent studies have proposed leakage-free evaluation protocols as a standard practice </w:t>
      </w:r>
      <w:r>
        <w:fldChar w:fldCharType="begin"/>
      </w:r>
      <w:r>
        <w:rPr>
          <w:rFonts w:ascii="Times New Roman" w:hAnsi="Times New Roman" w:cs="Times New Roman"/>
          <w:lang w:val="en-US"/>
        </w:rPr>
        <w:instrText xml:space="preserve"> ADDIN ZOTERO_ITEM CSL_CITATION {"citationID":"cOVM9lsG","properties":{"unsorted":false,"formattedCitation":"[11]","plainCitation":"[11]","noteIndex":0},"citationItems":[{"id":59,"uris":["http://zotero.org/users/local/0z44BwR0/items/FXGJIPBM"],"itemData":{"id":59,"type":"article","abstract":"The fast-paced development of machine learning (ML) methods coupled with its increasing adoption in research poses challenges for researchers without extensive training in ML. In neuroscience, for example, ML can help understand brain-behavior relationships, diagnose diseases, and develop biomarkers using various data sources like magnetic resonance imaging and electroencephalography. The primary objective of ML is to build models that can make accurate predictions on unseen data. Researchers aim to prove the existence of such generalizable models by evaluating performance using techniques such as cross-validation (CV), which uses systematic subsampling to estimate the generalization performance. Choosing a CV scheme and evaluating an ML pipeline can be challenging and, if used improperly, can lead to overestimated results and incorrect interpretations. We created julearn, an open-source Python library, that allow researchers to design and evaluate complex ML pipelines without encountering in common pitfalls. In this manuscript, we present the rationale behind julearn's design, its core features, and showcase three examples of previously-published research projects that can be easily implemented using this novel library. Julearn aims to simplify the entry into the ML world by providing an easy-to-use environment with built in guards against some of the most common ML pitfalls. With its design, unique features and simple interface, it poses as a useful Python-based library for research projects.","DOI":"10.48550/ARXIV.2310.12568","license":"Creative Commons Attribution Share Alike 4.0 International","note":"version: 1","publisher":"arXiv","source":"DOI.org (Datacite)","title":"Julearn: an easy-to-use library for leakage-free evaluation and inspection of ML models","title-short":"Julearn","URL":"https://arxiv.org/abs/2310.12568","author":[{"family":"Hamdan","given":"Sami"},{"family":"More","given":"Shammi"},{"family":"Sasse","given":"Leonard"},{"family":"Komeyer","given":"Vera"},{"family":"Patil","given":"Kaustubh R."},{"family":"Raimondo","given":"Federico"}],"accessed":{"date-parts":[["2026",7,16]]},"issued":{"date-parts":[["2023"]]}}}],"schema":"https://github.com/citation-style-language/schema/raw/master/csl-citation.json"} </w:instrText>
      </w:r>
      <w:r>
        <w:fldChar w:fldCharType="separate"/>
      </w:r>
      <w:r>
        <w:rPr>
          <w:rFonts w:ascii="Times New Roman" w:hAnsi="Times New Roman" w:cs="Times New Roman"/>
          <w:lang w:val="en-US"/>
        </w:rPr>
        <w:t>[11]</w:t>
      </w:r>
      <w:r>
        <w:rPr>
          <w:rFonts w:ascii="Times New Roman" w:hAnsi="Times New Roman" w:cs="Times New Roman"/>
          <w:lang w:val="en-US"/>
        </w:rPr>
        <w:fldChar w:fldCharType="end"/>
      </w:r>
      <w:r>
        <w:rPr>
          <w:rFonts w:ascii="Times New Roman" w:hAnsi="Times New Roman" w:cs="Times New Roman"/>
          <w:lang w:val="en-US"/>
        </w:rPr>
        <w:t>, an approach that this framework adopts rigorously by computing all preprocessing parameters exclusively on the training partition (Section III.B.1).</w:t>
      </w:r>
    </w:p>
    <w:p w14:paraId="7C0B5534" w14:textId="77777777" w:rsidR="00000000" w:rsidRDefault="00000000">
      <w:pPr>
        <w:pStyle w:val="Ttulo2"/>
      </w:pPr>
      <w:r>
        <w:t>D. Explainability and Responsible AI for Risk Prediction in Judicial Contexts</w:t>
      </w:r>
    </w:p>
    <w:p w14:paraId="59D0A546" w14:textId="77777777" w:rsidR="00000000" w:rsidRDefault="00000000">
      <w:pPr>
        <w:snapToGrid w:val="0"/>
        <w:ind w:firstLine="360"/>
        <w:jc w:val="both"/>
        <w:rPr>
          <w:rFonts w:ascii="Times New Roman" w:hAnsi="Times New Roman" w:cs="Times New Roman"/>
          <w:lang w:val="en-US"/>
        </w:rPr>
      </w:pPr>
      <w:r>
        <w:rPr>
          <w:rFonts w:ascii="Times New Roman" w:hAnsi="Times New Roman" w:cs="Times New Roman"/>
          <w:lang w:val="en-US"/>
        </w:rPr>
        <w:t xml:space="preserve">Recent literature agrees that interpretability is an indispensable requirement for the adoption of predictive models in judicial contexts </w:t>
      </w:r>
      <w:r>
        <w:fldChar w:fldCharType="begin"/>
      </w:r>
      <w:r>
        <w:rPr>
          <w:rFonts w:ascii="Times New Roman" w:hAnsi="Times New Roman" w:cs="Times New Roman"/>
          <w:lang w:val="en-US"/>
        </w:rPr>
        <w:instrText xml:space="preserve"> ADDIN ZOTERO_ITEM CSL_CITATION {"citationID":"aLSbiLJ0","properties":{"unsorted":false,"formattedCitation":"[12]","plainCitation":"[12]","noteIndex":0},"citationItems":[{"id":47,"uris":["http://zotero.org/users/local/0z44BwR0/items/XBHYEBCT"],"itemData":{"id":47,"type":"article-journal","abstract":"Abstract\n            Decisions made by legal adjudicators and administrative decision-makers often found upon a reservoir of stored experiences, from which is drawn a tacit body of expert knowledge. Such expertise may be implicit and opaque, even to the decision-makers themselves, and generates obstacles when implementing AI for automated decision-making tasks within the legal field, since, to the extent that AI-powered decision-making tools must found upon a stock of domain expertise, opacities may proliferate. This raises particular issues within the legal domain, which requires a high level of accountability, thus transparency. This requires enhanced explainability, which entails that a heterogeneous body of stakeholders understand the mechanism underlying the algorithm to the extent that an explanation can be furnished. However, the “black-box” nature of some AI variants, such as deep learning, remains unresolved, and many machine decisions therefore remain poorly understood. This survey paper, based upon a unique interdisciplinary collaboration between legal and AI experts, provides a review of the explainability spectrum, as informed by a systematic survey of relevant research papers, and categorises the results. The article establishes a novel taxonomy, linking the differing forms of legal inference at play within particular legal sub-domains to specific forms of algorithmic decision-making. The diverse categories demonstrate different dimensions in explainable AI (XAI) research. Thus, the survey departs from the preceding monolithic approach to legal reasoning and decision-making by incorporating heterogeneity in legal logics: a feature which requires elaboration, and should be accounted for when designing AI-driven decision-making systems for the legal field. It is thereby hoped that administrative decision-makers, court adjudicators, researchers, and practitioners can gain unique insights into explainability, and utilise the survey as the basis for further research within the field.","container-title":"Digital Society","DOI":"10.1007/s44206-023-00081-z","ISSN":"2731-4650, 2731-4669","issue":"1","journalAbbreviation":"DISO","language":"en","page":"1","source":"DOI.org (Crossref)","title":"Explainable AI and Law: An Evidential Survey","title-short":"Explainable AI and Law","URL":"https://link.springer.com/10.1007/s44206-023-00081-z","volume":"3","author":[{"family":"Richmond","given":"Karen McGregor"},{"family":"Muddamsetty","given":"Satya M."},{"family":"Gammeltoft-Hansen","given":"Thomas"},{"family":"Olsen","given":"Henrik Palmer"},{"family":"Moeslund","given":"Thomas B."}],"accessed":{"date-parts":[["2026",7,16]]},"issued":{"date-parts":[["2024",5]]}}}],"schema":"https://github.com/citation-style-language/schema/raw/master/csl-citation.json"} </w:instrText>
      </w:r>
      <w:r>
        <w:fldChar w:fldCharType="separate"/>
      </w:r>
      <w:r>
        <w:rPr>
          <w:rFonts w:ascii="Times New Roman" w:hAnsi="Times New Roman" w:cs="Times New Roman"/>
          <w:lang w:val="en-US"/>
        </w:rPr>
        <w:t>[12]</w:t>
      </w:r>
      <w:r>
        <w:rPr>
          <w:rFonts w:ascii="Times New Roman" w:hAnsi="Times New Roman" w:cs="Times New Roman"/>
          <w:lang w:val="en-US"/>
        </w:rPr>
        <w:fldChar w:fldCharType="end"/>
      </w:r>
      <w:r>
        <w:rPr>
          <w:rFonts w:ascii="Times New Roman" w:hAnsi="Times New Roman" w:cs="Times New Roman"/>
          <w:lang w:val="en-US"/>
        </w:rPr>
        <w:t xml:space="preserve">; however, existing approaches differ in their objectives, particularly in legal applications where explanations must be understandable to different institutional stakeholders </w:t>
      </w:r>
      <w:r>
        <w:fldChar w:fldCharType="begin"/>
      </w:r>
      <w:r>
        <w:rPr>
          <w:rFonts w:ascii="Times New Roman" w:hAnsi="Times New Roman" w:cs="Times New Roman"/>
          <w:lang w:val="en-US"/>
        </w:rPr>
        <w:instrText xml:space="preserve"> ADDIN ZOTERO_ITEM CSL_CITATION {"citationID":"WBgxC4y6","properties":{"unsorted":false,"formattedCitation":"[12]","plainCitation":"[12]","noteIndex":0},"citationItems":[{"id":47,"uris":["http://zotero.org/users/local/0z44BwR0/items/XBHYEBCT"],"itemData":{"id":47,"type":"article-journal","abstract":"Abstract\n            Decisions made by legal adjudicators and administrative decision-makers often found upon a reservoir of stored experiences, from which is drawn a tacit body of expert knowledge. Such expertise may be implicit and opaque, even to the decision-makers themselves, and generates obstacles when implementing AI for automated decision-making tasks within the legal field, since, to the extent that AI-powered decision-making tools must found upon a stock of domain expertise, opacities may proliferate. This raises particular issues within the legal domain, which requires a high level of accountability, thus transparency. This requires enhanced explainability, which entails that a heterogeneous body of stakeholders understand the mechanism underlying the algorithm to the extent that an explanation can be furnished. However, the “black-box” nature of some AI variants, such as deep learning, remains unresolved, and many machine decisions therefore remain poorly understood. This survey paper, based upon a unique interdisciplinary collaboration between legal and AI experts, provides a review of the explainability spectrum, as informed by a systematic survey of relevant research papers, and categorises the results. The article establishes a novel taxonomy, linking the differing forms of legal inference at play within particular legal sub-domains to specific forms of algorithmic decision-making. The diverse categories demonstrate different dimensions in explainable AI (XAI) research. Thus, the survey departs from the preceding monolithic approach to legal reasoning and decision-making by incorporating heterogeneity in legal logics: a feature which requires elaboration, and should be accounted for when designing AI-driven decision-making systems for the legal field. It is thereby hoped that administrative decision-makers, court adjudicators, researchers, and practitioners can gain unique insights into explainability, and utilise the survey as the basis for further research within the field.","container-title":"Digital Society","DOI":"10.1007/s44206-023-00081-z","ISSN":"2731-4650, 2731-4669","issue":"1","journalAbbreviation":"DISO","language":"en","page":"1","source":"DOI.org (Crossref)","title":"Explainable AI and Law: An Evidential Survey","title-short":"Explainable AI and Law","URL":"https://link.springer.com/10.1007/s44206-023-00081-z","volume":"3","author":[{"family":"Richmond","given":"Karen McGregor"},{"family":"Muddamsetty","given":"Satya M."},{"family":"Gammeltoft-Hansen","given":"Thomas"},{"family":"Olsen","given":"Henrik Palmer"},{"family":"Moeslund","given":"Thomas B."}],"accessed":{"date-parts":[["2026",7,16]]},"issued":{"date-parts":[["2024",5]]}}}],"schema":"https://github.com/citation-style-language/schema/raw/master/csl-citation.json"} </w:instrText>
      </w:r>
      <w:r>
        <w:fldChar w:fldCharType="separate"/>
      </w:r>
      <w:r>
        <w:rPr>
          <w:rFonts w:ascii="Times New Roman" w:hAnsi="Times New Roman" w:cs="Times New Roman"/>
          <w:lang w:val="en-US"/>
        </w:rPr>
        <w:t>[12]</w:t>
      </w:r>
      <w:r>
        <w:rPr>
          <w:rFonts w:ascii="Times New Roman" w:hAnsi="Times New Roman" w:cs="Times New Roman"/>
          <w:lang w:val="en-US"/>
        </w:rPr>
        <w:fldChar w:fldCharType="end"/>
      </w:r>
      <w:r>
        <w:rPr>
          <w:rFonts w:ascii="Times New Roman" w:hAnsi="Times New Roman" w:cs="Times New Roman"/>
          <w:lang w:val="en-US"/>
        </w:rPr>
        <w:t>.</w:t>
      </w:r>
    </w:p>
    <w:p w14:paraId="34615229" w14:textId="77777777" w:rsidR="00000000" w:rsidRDefault="00000000">
      <w:pPr>
        <w:snapToGrid w:val="0"/>
        <w:ind w:firstLine="360"/>
        <w:jc w:val="both"/>
        <w:rPr>
          <w:rFonts w:ascii="Times New Roman" w:hAnsi="Times New Roman" w:cs="Times New Roman"/>
          <w:lang w:val="en-US"/>
        </w:rPr>
      </w:pPr>
      <w:r>
        <w:rPr>
          <w:rFonts w:ascii="Times New Roman" w:hAnsi="Times New Roman" w:cs="Times New Roman"/>
          <w:lang w:val="en-US"/>
        </w:rPr>
        <w:t xml:space="preserve">While tools such as SHAP aim to explain the internal behavior of complex models through local and global feature attributions, consistent with recent systematic reviews on Explainable AI </w:t>
      </w:r>
      <w:r>
        <w:fldChar w:fldCharType="begin"/>
      </w:r>
      <w:r>
        <w:rPr>
          <w:rFonts w:ascii="Times New Roman" w:hAnsi="Times New Roman" w:cs="Times New Roman"/>
          <w:lang w:val="en-US"/>
        </w:rPr>
        <w:instrText xml:space="preserve"> ADDIN ZOTERO_ITEM CSL_CITATION {"citationID":"YtMvCGTO","properties":{"unsorted":false,"formattedCitation":"[13]","plainCitation":"[13]","noteIndex":0},"citationItems":[{"id":63,"uris":["http://zotero.org/users/local/0z44BwR0/items/L8SU2VTX"],"itemData":{"id":63,"type":"article-journal","abstract":"This systematic literature review employs the Preferred Reporting Items for Systematic Reviews and Meta-Analyses (PRISMA) methodology to investigate recent applications of explainable AI (XAI) over the past three years. From an initial pool of 664 articles identified through the Web of Science database, 512 peer-reviewed journal articles met the inclusion criteria—namely, being recent, high-quality XAI application articles published in English—and were analyzed in detail. Both qualitative and quantitative statistical techniques were used to analyze the identified articles: qualitatively by summarizing the characteristics of the included studies based on predefined codes, and quantitatively through statistical analysis of the data. These articles were categorized according to their application domains, techniques, and evaluation methods. Health-related applications were particularly prevalent, with a strong focus on cancer diagnosis, COVID-19 management, and medical imaging. Other significant areas of application included environmental and agricultural management, industrial optimization, cybersecurity, finance, transportation, and entertainment. Additionally, emerging applications in law, education, and social care highlight XAI’s expanding impact. The review reveals a predominant use of local explanation methods, particularly SHAP and LIME, with SHAP being favored for its stability and mathematical guarantees. However, a critical gap in the evaluation of XAI results is identified, as most studies rely on anecdotal evidence or expert opinion rather than robust quantitative metrics. This underscores the urgent need for standardized evaluation frameworks to ensure the reliability and effectiveness of XAI applications. Future research should focus on developing comprehensive evaluation standards and improving the interpretability and stability of explanations. These advancements are essential for addressing the diverse demands of various application domains while ensuring trust and transparency in AI systems.","container-title":"Applied Sciences","DOI":"10.3390/app14198884","ISSN":"2076-3417","issue":"19","journalAbbreviation":"Applied Sciences","language":"en","page":"8884","source":"DOI.org (Crossref)","title":"Recent Applications of Explainable AI (XAI): A Systematic Literature Review","title-short":"Recent Applications of Explainable AI (XAI)","URL":"https://www.mdpi.com/2076-3417/14/19/8884","volume":"14","author":[{"family":"Saarela","given":"Mirka"},{"family":"Podgorelec","given":"Vili"}],"accessed":{"date-parts":[["2026",7,16]]},"issued":{"date-parts":[["2024",10,2]]}}}],"schema":"https://github.com/citation-style-language/schema/raw/master/csl-citation.json"} </w:instrText>
      </w:r>
      <w:r>
        <w:fldChar w:fldCharType="separate"/>
      </w:r>
      <w:r>
        <w:rPr>
          <w:rFonts w:ascii="Times New Roman" w:hAnsi="Times New Roman" w:cs="Times New Roman"/>
          <w:lang w:val="en-US"/>
        </w:rPr>
        <w:t>[13]</w:t>
      </w:r>
      <w:r>
        <w:rPr>
          <w:rFonts w:ascii="Times New Roman" w:hAnsi="Times New Roman" w:cs="Times New Roman"/>
          <w:lang w:val="en-US"/>
        </w:rPr>
        <w:fldChar w:fldCharType="end"/>
      </w:r>
      <w:r>
        <w:rPr>
          <w:rFonts w:ascii="Times New Roman" w:hAnsi="Times New Roman" w:cs="Times New Roman"/>
          <w:lang w:val="en-US"/>
        </w:rPr>
        <w:t xml:space="preserve">, these perspectives should be understood as complementary rather than mutually exclusive alternatives </w:t>
      </w:r>
      <w:r>
        <w:fldChar w:fldCharType="begin"/>
      </w:r>
      <w:r>
        <w:rPr>
          <w:rFonts w:ascii="Times New Roman" w:hAnsi="Times New Roman" w:cs="Times New Roman"/>
          <w:lang w:val="en-US"/>
        </w:rPr>
        <w:instrText xml:space="preserve"> ADDIN ZOTERO_ITEM CSL_CITATION {"citationID":"gt5gkn4L","properties":{"unsorted":false,"formattedCitation":"[14], [15]","plainCitation":"[14], [15]","noteIndex":0},"citationItems":[{"id":42,"uris":["http://zotero.org/users/local/0z44BwR0/items/PEVPJNKG"],"itemData":{"id":42,"type":"article-journal","container-title":"arXiv (Cornell University)","DOI":"10.48550/arxiv.1705.07874","title":"A Unified Approach to Interpreting Model Predictions","URL":"http://arxiv.org/abs/1705.07874","author":[{"family":"Lundberg","given":"Scott"},{"family":"Lee","given":"Su-In"}],"issued":{"date-parts":[["2017",5]]}}},{"id":35,"uris":["http://zotero.org/users/local/0z44BwR0/items/UEZZYGID"],"itemData":{"id":35,"type":"article-journal","container-title":"Journal Of Big Data","DOI":"10.1186/s40537-025-01340-1","issue":"1","title":"Hybrid machine learning modelling with explainability for predicting case delays and durations in Indian lower courts","URL":"https://doi.org/10.1186/s40537-025-01340-1","volume":"13","author":[{"family":"Bhatnagar","given":"Mohit"},{"family":"Huchhanavar","given":"Shivaraj"}],"issued":{"date-parts":[["2025",12]]}}}],"schema":"https://github.com/citation-style-language/schema/raw/master/csl-citation.json"} </w:instrText>
      </w:r>
      <w:r>
        <w:fldChar w:fldCharType="separate"/>
      </w:r>
      <w:r>
        <w:rPr>
          <w:rFonts w:ascii="Times New Roman" w:hAnsi="Times New Roman" w:cs="Times New Roman"/>
          <w:lang w:val="en-US"/>
        </w:rPr>
        <w:t>[14], [15]</w:t>
      </w:r>
      <w:r>
        <w:rPr>
          <w:rFonts w:ascii="Times New Roman" w:hAnsi="Times New Roman" w:cs="Times New Roman"/>
          <w:lang w:val="en-US"/>
        </w:rPr>
        <w:fldChar w:fldCharType="end"/>
      </w:r>
      <w:r>
        <w:rPr>
          <w:rFonts w:ascii="Times New Roman" w:hAnsi="Times New Roman" w:cs="Times New Roman"/>
          <w:lang w:val="en-US"/>
        </w:rPr>
        <w:t xml:space="preserve">. In parallel, risk assessment tools in the criminal justice sector have been subject to intense scrutiny; the literature reports that commercial algorithms based on more than 100 variables did not outperform either in accuracy or fairness the predictions made by individuals without legal expertise </w:t>
      </w:r>
      <w:r>
        <w:fldChar w:fldCharType="begin"/>
      </w:r>
      <w:r>
        <w:rPr>
          <w:rFonts w:ascii="Times New Roman" w:hAnsi="Times New Roman" w:cs="Times New Roman"/>
          <w:lang w:val="en-US"/>
        </w:rPr>
        <w:instrText xml:space="preserve"> ADDIN ZOTERO_ITEM CSL_CITATION {"citationID":"r0aT3lVi","properties":{"unsorted":false,"formattedCitation":"[16]","plainCitation":"[16]","noteIndex":0},"citationItems":[{"id":43,"uris":["http://zotero.org/users/local/0z44BwR0/items/V2MHTV7A"],"itemData":{"id":43,"type":"article-journal","container-title":"Science Advances","DOI":"10.1126/sciadv.aao5580","issue":"1","page":"eaao5580","title":"The accuracy, fairness, and limits of predicting recidivism","URL":"https://doi.org/10.1126/sciadv.aao5580","volume":"4","author":[{"family":"Dressel","given":"Julia"},{"family":"Farid","given":"Hany"}],"issued":{"date-parts":[["2018",1]]}}}],"schema":"https://github.com/citation-style-language/schema/raw/master/csl-citation.json"} </w:instrText>
      </w:r>
      <w:r>
        <w:fldChar w:fldCharType="separate"/>
      </w:r>
      <w:r>
        <w:rPr>
          <w:rFonts w:ascii="Times New Roman" w:hAnsi="Times New Roman" w:cs="Times New Roman"/>
          <w:lang w:val="en-US"/>
        </w:rPr>
        <w:t>[16]</w:t>
      </w:r>
      <w:r>
        <w:rPr>
          <w:rFonts w:ascii="Times New Roman" w:hAnsi="Times New Roman" w:cs="Times New Roman"/>
          <w:lang w:val="en-US"/>
        </w:rPr>
        <w:fldChar w:fldCharType="end"/>
      </w:r>
      <w:r>
        <w:rPr>
          <w:rFonts w:ascii="Times New Roman" w:hAnsi="Times New Roman" w:cs="Times New Roman"/>
          <w:lang w:val="en-US"/>
        </w:rPr>
        <w:t xml:space="preserve">. This evidence demonstrates that high predictive accuracy alone is insufficient to support decision-making in judicial contexts. Institutional trust also requires transparent, interpretable, and auditable models capable of justifying their predictions and facilitating their review by domain experts, in accordance with the recent Responsible AI literature </w:t>
      </w:r>
      <w:r>
        <w:fldChar w:fldCharType="begin"/>
      </w:r>
      <w:r>
        <w:rPr>
          <w:rFonts w:ascii="Times New Roman" w:hAnsi="Times New Roman" w:cs="Times New Roman"/>
          <w:lang w:val="en-US"/>
        </w:rPr>
        <w:instrText xml:space="preserve"> ADDIN ZOTERO_ITEM CSL_CITATION {"citationID":"dDHVV3NK","properties":{"unsorted":false,"formattedCitation":"[17]","plainCitation":"[17]","noteIndex":0},"citationItems":[{"id":49,"uris":["http://zotero.org/users/local/0z44BwR0/items/TZP58YK7"],"itemData":{"id":49,"type":"article-journal","abstract":"Abstract\n            When artificial intelligence (AI) is used to make high-stakes decisions, some worry that this will create a morally troubling responsibility gap—that is, a situation in which nobody is morally responsible for the actions and outcomes that result. Since the responsibility gap might be thought to result from individuals lacking knowledge of the future behavior of AI systems, it can be and has been suggested that deploying explainable artificial intelligence (XAI) techniques will help us to avoid it. These techniques provide humans with certain forms of understanding of the systems in question. In this paper, I consider whether existing XAI techniques can indeed close the responsibility gap. I identify a number of significant limits to their ability to do so. Ensuring that responsibility for AI-assisted outcomes is maintained may require using different techniques in different circumstances, and potentially also developing new techniques that can avoid each of the issues identified.","container-title":"AI &amp; SOCIETY","DOI":"10.1007/s00146-024-01939-7","ISSN":"0951-5666, 1435-5655","issue":"3","journalAbbreviation":"AI &amp; Soc","language":"en","page":"1695-1704","source":"DOI.org (Crossref)","title":"Is explainable AI responsible AI?","URL":"https://link.springer.com/10.1007/s00146-024-01939-7","volume":"40","author":[{"family":"Taylor","given":"Isaac"}],"accessed":{"date-parts":[["2026",7,16]]},"issued":{"date-parts":[["2025",3]]}}}],"schema":"https://github.com/citation-style-language/schema/raw/master/csl-citation.json"} </w:instrText>
      </w:r>
      <w:r>
        <w:fldChar w:fldCharType="separate"/>
      </w:r>
      <w:r>
        <w:rPr>
          <w:rFonts w:ascii="Times New Roman" w:hAnsi="Times New Roman" w:cs="Times New Roman"/>
          <w:lang w:val="en-US"/>
        </w:rPr>
        <w:t>[17]</w:t>
      </w:r>
      <w:r>
        <w:rPr>
          <w:rFonts w:ascii="Times New Roman" w:hAnsi="Times New Roman" w:cs="Times New Roman"/>
          <w:lang w:val="en-US"/>
        </w:rPr>
        <w:fldChar w:fldCharType="end"/>
      </w:r>
      <w:r>
        <w:rPr>
          <w:rFonts w:ascii="Times New Roman" w:hAnsi="Times New Roman" w:cs="Times New Roman"/>
          <w:lang w:val="en-US"/>
        </w:rPr>
        <w:t>.</w:t>
      </w:r>
    </w:p>
    <w:p w14:paraId="1499BFAC" w14:textId="77777777" w:rsidR="00000000" w:rsidRDefault="00000000">
      <w:pPr>
        <w:snapToGrid w:val="0"/>
        <w:ind w:firstLine="360"/>
        <w:jc w:val="both"/>
        <w:rPr>
          <w:rFonts w:ascii="Times New Roman" w:hAnsi="Times New Roman" w:cs="Times New Roman"/>
          <w:lang w:val="en-US"/>
        </w:rPr>
      </w:pPr>
      <w:r>
        <w:rPr>
          <w:rFonts w:ascii="Times New Roman" w:hAnsi="Times New Roman" w:cs="Times New Roman"/>
          <w:lang w:val="en-US"/>
        </w:rPr>
        <w:t xml:space="preserve">From this perspective, the proposed framework incorporates local explanations through SHAP values and probabilistic calibration diagnostics to promote the responsible use of predictions prior to any potential institutional </w:t>
      </w:r>
      <w:r>
        <w:rPr>
          <w:rFonts w:ascii="Times New Roman" w:hAnsi="Times New Roman" w:cs="Times New Roman"/>
          <w:lang w:val="en-US"/>
        </w:rPr>
        <w:lastRenderedPageBreak/>
        <w:t>deployment. Consequently, the current challenge extends beyond the isolated use of explainability techniques and consists of incorporating them into comprehensive frameworks that integrate rigorous validation, transparency, and reproducibility from the methodological design stage.</w:t>
      </w:r>
    </w:p>
    <w:p w14:paraId="695AD59D" w14:textId="77777777" w:rsidR="00000000" w:rsidRDefault="00000000">
      <w:pPr>
        <w:snapToGrid w:val="0"/>
        <w:ind w:firstLine="360"/>
        <w:jc w:val="both"/>
        <w:rPr>
          <w:rFonts w:ascii="Times New Roman" w:hAnsi="Times New Roman" w:cs="Times New Roman"/>
          <w:lang w:val="en-US"/>
        </w:rPr>
      </w:pPr>
      <w:r>
        <w:rPr>
          <w:rFonts w:ascii="Times New Roman" w:hAnsi="Times New Roman" w:cs="Times New Roman"/>
          <w:lang w:val="en-US"/>
        </w:rPr>
        <w:t>Overall, the literature demonstrates significant advances in the application of machine learning to the judicial domain, feature selection, data leakage prevention, and model interpretability. However, these components are typically addressed in isolation, with limited integration into reproducible methodological frameworks that simultaneously incorporate temporal validation, robust feature selection, explainability, and evaluation tailored to the operational context.</w:t>
      </w:r>
    </w:p>
    <w:p w14:paraId="5CC1E7B6" w14:textId="77777777" w:rsidR="00000000" w:rsidRDefault="00000000">
      <w:pPr>
        <w:snapToGrid w:val="0"/>
        <w:ind w:firstLine="360"/>
        <w:jc w:val="both"/>
      </w:pPr>
      <w:r>
        <w:rPr>
          <w:rFonts w:ascii="Times New Roman" w:hAnsi="Times New Roman" w:cs="Times New Roman"/>
          <w:lang w:val="en-US"/>
        </w:rPr>
        <w:t>This methodological need motivates the proposal presented in the following section, whose primary contribution is to integrate, within a single reproducible framework, robust feature selection, data leakage prevention, temporal validation, supervised learning, and interpretability for the early identification of proxy signals of prosecutorial congestion.</w:t>
      </w:r>
    </w:p>
    <w:p w14:paraId="15E31EBD" w14:textId="77777777" w:rsidR="00000000" w:rsidRDefault="00000000">
      <w:pPr>
        <w:pStyle w:val="Ttulo1"/>
      </w:pPr>
      <w:r>
        <w:t>III. Materials And Methods</w:t>
      </w:r>
    </w:p>
    <w:p w14:paraId="451F0889" w14:textId="77777777" w:rsidR="00000000" w:rsidRDefault="00000000">
      <w:pPr>
        <w:pStyle w:val="Ttulo2"/>
      </w:pPr>
      <w:r>
        <w:t>A. Dataset</w:t>
      </w:r>
    </w:p>
    <w:p w14:paraId="52973B5F" w14:textId="77777777" w:rsidR="00000000" w:rsidRDefault="00000000">
      <w:pPr>
        <w:pStyle w:val="Ttulo3"/>
        <w:ind w:firstLine="0"/>
        <w:rPr>
          <w:rFonts w:ascii="Times New Roman" w:hAnsi="Times New Roman" w:cs="Times New Roman"/>
        </w:rPr>
      </w:pPr>
      <w:r>
        <w:t>1) Description</w:t>
      </w:r>
    </w:p>
    <w:p w14:paraId="0ECD8FEB" w14:textId="77777777" w:rsidR="00000000" w:rsidRDefault="00000000">
      <w:pPr>
        <w:snapToGrid w:val="0"/>
        <w:ind w:firstLine="360"/>
        <w:jc w:val="both"/>
      </w:pPr>
      <w:r>
        <w:rPr>
          <w:rFonts w:ascii="Times New Roman" w:hAnsi="Times New Roman" w:cs="Times New Roman"/>
          <w:lang w:val="en-US"/>
        </w:rPr>
        <w:t xml:space="preserve">This study uses the administrative records from the "MPFN Fiscal Cases" dataset, published by the Public Prosecutor's Office – Office of the Attorney General of Peru (MPFN) on the National Open Data Platform </w:t>
      </w:r>
      <w:r>
        <w:fldChar w:fldCharType="begin"/>
      </w:r>
      <w:r>
        <w:rPr>
          <w:rFonts w:ascii="Times New Roman" w:hAnsi="Times New Roman" w:cs="Times New Roman"/>
          <w:lang w:val="en-US"/>
        </w:rPr>
        <w:instrText xml:space="preserve"> ADDIN ZOTERO_ITEM CSL_CITATION {"citationID":"i2TDsBT2","properties":{"unsorted":false,"formattedCitation":"[18]","plainCitation":"[18]","noteIndex":0},"citationItems":[{"id":45,"uris":["http://zotero.org/users/local/0z44BwR0/items/PZW237VK"],"itemData":{"id":45,"type":"document","title":"[MPFN] Casos fiscales | Plataforma Nacional de Datos Abiertos","URL":"https://www.datosabiertos.gob.pe/dataset/mpfn-casos-fiscales","author":[{"literal":"Ministerio Público – Fiscalía de la Nación (MPFN)"}],"issued":{"date-parts":[["2022",4]]}}}],"schema":"https://github.com/citation-style-language/schema/raw/master/csl-citation.json"} </w:instrText>
      </w:r>
      <w:r>
        <w:fldChar w:fldCharType="separate"/>
      </w:r>
      <w:r>
        <w:rPr>
          <w:rFonts w:ascii="Times New Roman" w:hAnsi="Times New Roman" w:cs="Times New Roman"/>
          <w:lang w:val="en-US"/>
        </w:rPr>
        <w:t>[18]</w:t>
      </w:r>
      <w:r>
        <w:rPr>
          <w:rFonts w:ascii="Times New Roman" w:hAnsi="Times New Roman" w:cs="Times New Roman"/>
          <w:lang w:val="en-US"/>
        </w:rPr>
        <w:fldChar w:fldCharType="end"/>
      </w:r>
      <w:r>
        <w:rPr>
          <w:rFonts w:ascii="Times New Roman" w:hAnsi="Times New Roman" w:cs="Times New Roman"/>
          <w:lang w:val="en-US"/>
        </w:rPr>
        <w:t>. The dataset reports the volume of cases received and processed nationwide, disaggregated by prosecutorial district, prosecution office type, subject matter, and specialty, and distributed in independent annual CSV files covering the 2019–2026 period.</w:t>
      </w:r>
    </w:p>
    <w:p w14:paraId="7F16ED21" w14:textId="77777777" w:rsidR="00000000" w:rsidRDefault="00000000">
      <w:pPr>
        <w:pStyle w:val="Ttulo3"/>
        <w:ind w:firstLine="0"/>
        <w:rPr>
          <w:rFonts w:ascii="Times New Roman" w:hAnsi="Times New Roman" w:cs="Times New Roman"/>
        </w:rPr>
      </w:pPr>
      <w:r>
        <w:t>2) Variables</w:t>
      </w:r>
    </w:p>
    <w:p w14:paraId="2D94051F" w14:textId="77777777" w:rsidR="00000000" w:rsidRDefault="00000000">
      <w:pPr>
        <w:snapToGrid w:val="0"/>
        <w:ind w:firstLine="360"/>
        <w:jc w:val="both"/>
        <w:rPr>
          <w:b/>
          <w:bCs/>
        </w:rPr>
      </w:pPr>
      <w:r>
        <w:rPr>
          <w:rFonts w:ascii="Times New Roman" w:hAnsi="Times New Roman" w:cs="Times New Roman"/>
          <w:lang w:val="en-US"/>
        </w:rPr>
        <w:t>The official MPFN data dictionary comprises 16 raw administrative fields structured into four dimensions: temporality, institutional geography, case taxonomy, and volumetric workload, as described in Table I.</w:t>
      </w:r>
    </w:p>
    <w:p w14:paraId="2295531A" w14:textId="77777777" w:rsidR="00000000" w:rsidRDefault="00000000">
      <w:pPr>
        <w:pStyle w:val="TableCaption"/>
        <w:rPr>
          <w:b/>
          <w:bCs/>
          <w:lang w:val="es-PE"/>
        </w:rPr>
      </w:pPr>
      <w:r>
        <w:rPr>
          <w:b/>
          <w:bCs/>
        </w:rPr>
        <w:t xml:space="preserve">TABLE I. </w:t>
      </w:r>
      <w:r>
        <w:t>RAW ADMINISTRATIVE FIELDS FROM THE MPFN DATA DICTIONARY</w:t>
      </w:r>
    </w:p>
    <w:tbl>
      <w:tblPr>
        <w:tblW w:w="0" w:type="auto"/>
        <w:tblLayout w:type="fixed"/>
        <w:tblLook w:val="0000" w:firstRow="0" w:lastRow="0" w:firstColumn="0" w:lastColumn="0" w:noHBand="0" w:noVBand="0"/>
      </w:tblPr>
      <w:tblGrid>
        <w:gridCol w:w="1628"/>
        <w:gridCol w:w="3628"/>
      </w:tblGrid>
      <w:tr w:rsidR="00000000" w14:paraId="6B06A437" w14:textId="77777777">
        <w:trPr>
          <w:tblHeader/>
        </w:trPr>
        <w:tc>
          <w:tcPr>
            <w:tcW w:w="1628" w:type="dxa"/>
            <w:tcBorders>
              <w:bottom w:val="single" w:sz="4" w:space="0" w:color="000000"/>
            </w:tcBorders>
            <w:vAlign w:val="center"/>
          </w:tcPr>
          <w:p w14:paraId="55A1C1F1" w14:textId="77777777" w:rsidR="00000000" w:rsidRDefault="00000000">
            <w:pPr>
              <w:snapToGrid w:val="0"/>
              <w:spacing w:before="36" w:after="36"/>
            </w:pPr>
            <w:r>
              <w:rPr>
                <w:b/>
                <w:bCs/>
                <w:sz w:val="16"/>
                <w:szCs w:val="16"/>
                <w:lang w:val="es-PE"/>
              </w:rPr>
              <w:t>Dimension</w:t>
            </w:r>
          </w:p>
        </w:tc>
        <w:tc>
          <w:tcPr>
            <w:tcW w:w="3628" w:type="dxa"/>
            <w:tcBorders>
              <w:bottom w:val="single" w:sz="4" w:space="0" w:color="000000"/>
            </w:tcBorders>
            <w:vAlign w:val="center"/>
          </w:tcPr>
          <w:p w14:paraId="399A2EEA" w14:textId="77777777" w:rsidR="00000000" w:rsidRDefault="00000000">
            <w:pPr>
              <w:snapToGrid w:val="0"/>
              <w:spacing w:before="36" w:after="36"/>
            </w:pPr>
            <w:r>
              <w:rPr>
                <w:b/>
                <w:bCs/>
                <w:sz w:val="16"/>
                <w:szCs w:val="16"/>
                <w:lang w:val="es-PE"/>
              </w:rPr>
              <w:t>Variables</w:t>
            </w:r>
          </w:p>
        </w:tc>
      </w:tr>
      <w:tr w:rsidR="00000000" w14:paraId="6E3FE0E8" w14:textId="77777777">
        <w:tc>
          <w:tcPr>
            <w:tcW w:w="1628" w:type="dxa"/>
            <w:vAlign w:val="center"/>
          </w:tcPr>
          <w:p w14:paraId="78D6D0AE" w14:textId="77777777" w:rsidR="00000000" w:rsidRDefault="00000000">
            <w:pPr>
              <w:snapToGrid w:val="0"/>
              <w:spacing w:before="36" w:after="36"/>
            </w:pPr>
            <w:r>
              <w:rPr>
                <w:sz w:val="16"/>
                <w:szCs w:val="16"/>
                <w:lang w:val="es-PE"/>
              </w:rPr>
              <w:t>Temporality</w:t>
            </w:r>
          </w:p>
        </w:tc>
        <w:tc>
          <w:tcPr>
            <w:tcW w:w="3628" w:type="dxa"/>
            <w:vAlign w:val="center"/>
          </w:tcPr>
          <w:p w14:paraId="6410A968" w14:textId="77777777" w:rsidR="00000000" w:rsidRDefault="00000000">
            <w:pPr>
              <w:snapToGrid w:val="0"/>
              <w:spacing w:before="36" w:after="36"/>
            </w:pPr>
            <w:r>
              <w:rPr>
                <w:sz w:val="16"/>
                <w:szCs w:val="16"/>
                <w:lang w:val="es-PE"/>
              </w:rPr>
              <w:t>periodo, anio, fecha_descarga, fecha_corte</w:t>
            </w:r>
          </w:p>
        </w:tc>
      </w:tr>
      <w:tr w:rsidR="00000000" w14:paraId="2B7EBBB4" w14:textId="77777777">
        <w:tc>
          <w:tcPr>
            <w:tcW w:w="1628" w:type="dxa"/>
            <w:vAlign w:val="center"/>
          </w:tcPr>
          <w:p w14:paraId="23A4143A" w14:textId="77777777" w:rsidR="00000000" w:rsidRDefault="00000000">
            <w:pPr>
              <w:snapToGrid w:val="0"/>
              <w:spacing w:before="36" w:after="36"/>
            </w:pPr>
            <w:r>
              <w:rPr>
                <w:sz w:val="16"/>
                <w:szCs w:val="16"/>
                <w:lang w:val="es-PE"/>
              </w:rPr>
              <w:t>Institutional Geography</w:t>
            </w:r>
          </w:p>
        </w:tc>
        <w:tc>
          <w:tcPr>
            <w:tcW w:w="3628" w:type="dxa"/>
            <w:vAlign w:val="center"/>
          </w:tcPr>
          <w:p w14:paraId="68A8B6EE" w14:textId="77777777" w:rsidR="00000000" w:rsidRDefault="00000000">
            <w:pPr>
              <w:snapToGrid w:val="0"/>
              <w:spacing w:before="36" w:after="36"/>
            </w:pPr>
            <w:r>
              <w:rPr>
                <w:sz w:val="16"/>
                <w:szCs w:val="16"/>
                <w:lang w:val="es-PE"/>
              </w:rPr>
              <w:t>distrito_fiscal, ubigeo_pjfs*, dpto_pjfs, prov_pjfs, dist_pjfs</w:t>
            </w:r>
          </w:p>
        </w:tc>
      </w:tr>
      <w:tr w:rsidR="00000000" w14:paraId="5DF7C3D7" w14:textId="77777777">
        <w:tc>
          <w:tcPr>
            <w:tcW w:w="1628" w:type="dxa"/>
            <w:vAlign w:val="center"/>
          </w:tcPr>
          <w:p w14:paraId="37F3A9CE" w14:textId="77777777" w:rsidR="00000000" w:rsidRDefault="00000000">
            <w:pPr>
              <w:snapToGrid w:val="0"/>
              <w:spacing w:before="36" w:after="36"/>
            </w:pPr>
            <w:r>
              <w:rPr>
                <w:sz w:val="16"/>
                <w:szCs w:val="16"/>
                <w:lang w:val="es-PE"/>
              </w:rPr>
              <w:t>Case Taxonomy</w:t>
            </w:r>
          </w:p>
        </w:tc>
        <w:tc>
          <w:tcPr>
            <w:tcW w:w="3628" w:type="dxa"/>
            <w:vAlign w:val="center"/>
          </w:tcPr>
          <w:p w14:paraId="19C60D45" w14:textId="77777777" w:rsidR="00000000" w:rsidRDefault="00000000">
            <w:pPr>
              <w:snapToGrid w:val="0"/>
              <w:spacing w:before="36" w:after="36"/>
            </w:pPr>
            <w:r>
              <w:rPr>
                <w:sz w:val="16"/>
                <w:szCs w:val="16"/>
                <w:lang w:val="es-PE"/>
              </w:rPr>
              <w:t>tipo_fiscalia, materia, especialidad, tipo_caso, especializada</w:t>
            </w:r>
          </w:p>
        </w:tc>
      </w:tr>
      <w:tr w:rsidR="00000000" w14:paraId="798AE61F" w14:textId="77777777">
        <w:tc>
          <w:tcPr>
            <w:tcW w:w="1628" w:type="dxa"/>
            <w:vAlign w:val="center"/>
          </w:tcPr>
          <w:p w14:paraId="0520FCA8" w14:textId="77777777" w:rsidR="00000000" w:rsidRDefault="00000000">
            <w:pPr>
              <w:snapToGrid w:val="0"/>
              <w:spacing w:before="36" w:after="36"/>
            </w:pPr>
            <w:r>
              <w:rPr>
                <w:sz w:val="16"/>
                <w:szCs w:val="16"/>
                <w:lang w:val="es-PE"/>
              </w:rPr>
              <w:t>Volumetric Workload</w:t>
            </w:r>
          </w:p>
        </w:tc>
        <w:tc>
          <w:tcPr>
            <w:tcW w:w="3628" w:type="dxa"/>
            <w:vAlign w:val="center"/>
          </w:tcPr>
          <w:p w14:paraId="5D895B92" w14:textId="77777777" w:rsidR="00000000" w:rsidRDefault="00000000">
            <w:pPr>
              <w:snapToGrid w:val="0"/>
              <w:spacing w:before="36" w:after="36"/>
            </w:pPr>
            <w:r>
              <w:rPr>
                <w:sz w:val="16"/>
                <w:szCs w:val="16"/>
                <w:lang w:val="es-PE"/>
              </w:rPr>
              <w:t>ingresado, atendido</w:t>
            </w:r>
          </w:p>
        </w:tc>
      </w:tr>
    </w:tbl>
    <w:p w14:paraId="60AB3DA7" w14:textId="77777777" w:rsidR="00000000" w:rsidRDefault="00000000">
      <w:pPr>
        <w:pStyle w:val="Notetable"/>
        <w:rPr>
          <w:rFonts w:ascii="Times New Roman" w:hAnsi="Times New Roman"/>
        </w:rPr>
      </w:pPr>
      <w:r>
        <w:t>Note: ubigeo_pjfs is encoded according to the INEI catalog.</w:t>
      </w:r>
    </w:p>
    <w:p w14:paraId="24691C64" w14:textId="77777777" w:rsidR="00000000" w:rsidRDefault="00000000">
      <w:pPr>
        <w:snapToGrid w:val="0"/>
        <w:ind w:firstLine="360"/>
        <w:jc w:val="both"/>
        <w:rPr>
          <w:b/>
          <w:bCs/>
        </w:rPr>
      </w:pPr>
      <w:r>
        <w:rPr>
          <w:rFonts w:ascii="Times New Roman" w:hAnsi="Times New Roman" w:cs="Times New Roman"/>
          <w:lang w:val="en-US"/>
        </w:rPr>
        <w:t>Based on these fields, 14 variables were constructed through feature engineering and grouped into four families: operational pressure indicators, temporal descriptors, second-order categorical interactions, and lagged historical metrics by prosecutorial district, computed as moving averages and year-</w:t>
      </w:r>
      <w:r>
        <w:rPr>
          <w:rFonts w:ascii="Times New Roman" w:hAnsi="Times New Roman" w:cs="Times New Roman"/>
          <w:lang w:val="en-US"/>
        </w:rPr>
        <w:t>over-year growth rates of case inflows and processed cases from the previous period (Table II).</w:t>
      </w:r>
    </w:p>
    <w:p w14:paraId="6F72F14E" w14:textId="77777777" w:rsidR="00000000" w:rsidRDefault="00000000">
      <w:pPr>
        <w:pStyle w:val="TableCaption"/>
        <w:rPr>
          <w:b/>
          <w:bCs/>
          <w:lang w:val="es-PE"/>
        </w:rPr>
      </w:pPr>
      <w:r>
        <w:rPr>
          <w:b/>
          <w:bCs/>
        </w:rPr>
        <w:t xml:space="preserve">TABLE II. </w:t>
      </w:r>
      <w:r>
        <w:t>VARIABLES DERIVED THROUGH FEATURE ENGINEERING</w:t>
      </w:r>
    </w:p>
    <w:tbl>
      <w:tblPr>
        <w:tblW w:w="0" w:type="auto"/>
        <w:jc w:val="center"/>
        <w:tblLayout w:type="fixed"/>
        <w:tblLook w:val="0000" w:firstRow="0" w:lastRow="0" w:firstColumn="0" w:lastColumn="0" w:noHBand="0" w:noVBand="0"/>
      </w:tblPr>
      <w:tblGrid>
        <w:gridCol w:w="2628"/>
        <w:gridCol w:w="2628"/>
      </w:tblGrid>
      <w:tr w:rsidR="00000000" w14:paraId="447F40B0" w14:textId="77777777">
        <w:trPr>
          <w:tblHeader/>
          <w:jc w:val="center"/>
        </w:trPr>
        <w:tc>
          <w:tcPr>
            <w:tcW w:w="2628" w:type="dxa"/>
            <w:tcBorders>
              <w:bottom w:val="single" w:sz="4" w:space="0" w:color="000000"/>
            </w:tcBorders>
            <w:vAlign w:val="center"/>
          </w:tcPr>
          <w:p w14:paraId="27A03A65" w14:textId="77777777" w:rsidR="00000000" w:rsidRDefault="00000000">
            <w:pPr>
              <w:snapToGrid w:val="0"/>
              <w:spacing w:before="36" w:after="36"/>
            </w:pPr>
            <w:r>
              <w:rPr>
                <w:b/>
                <w:bCs/>
                <w:sz w:val="16"/>
                <w:szCs w:val="16"/>
                <w:lang w:val="es-PE"/>
              </w:rPr>
              <w:t>Dimension</w:t>
            </w:r>
          </w:p>
        </w:tc>
        <w:tc>
          <w:tcPr>
            <w:tcW w:w="2628" w:type="dxa"/>
            <w:tcBorders>
              <w:bottom w:val="single" w:sz="4" w:space="0" w:color="000000"/>
            </w:tcBorders>
            <w:vAlign w:val="center"/>
          </w:tcPr>
          <w:p w14:paraId="48ECEE50" w14:textId="77777777" w:rsidR="00000000" w:rsidRDefault="00000000">
            <w:pPr>
              <w:snapToGrid w:val="0"/>
              <w:spacing w:before="36" w:after="36"/>
            </w:pPr>
            <w:r>
              <w:rPr>
                <w:b/>
                <w:bCs/>
                <w:sz w:val="16"/>
                <w:szCs w:val="16"/>
                <w:lang w:val="es-PE"/>
              </w:rPr>
              <w:t>Variables</w:t>
            </w:r>
          </w:p>
        </w:tc>
      </w:tr>
      <w:tr w:rsidR="00000000" w14:paraId="3D8C2310" w14:textId="77777777">
        <w:trPr>
          <w:jc w:val="center"/>
        </w:trPr>
        <w:tc>
          <w:tcPr>
            <w:tcW w:w="2628" w:type="dxa"/>
            <w:vAlign w:val="center"/>
          </w:tcPr>
          <w:p w14:paraId="60E180AB" w14:textId="77777777" w:rsidR="00000000" w:rsidRDefault="00000000">
            <w:pPr>
              <w:snapToGrid w:val="0"/>
              <w:spacing w:before="36" w:after="36" w:line="240" w:lineRule="atLeast"/>
            </w:pPr>
            <w:r>
              <w:rPr>
                <w:sz w:val="16"/>
                <w:szCs w:val="16"/>
                <w:lang w:val="es-PE"/>
              </w:rPr>
              <w:t>Operational Pressure</w:t>
            </w:r>
          </w:p>
        </w:tc>
        <w:tc>
          <w:tcPr>
            <w:tcW w:w="2628" w:type="dxa"/>
            <w:vAlign w:val="center"/>
          </w:tcPr>
          <w:p w14:paraId="46120D11" w14:textId="77777777" w:rsidR="00000000" w:rsidRDefault="00000000">
            <w:pPr>
              <w:snapToGrid w:val="0"/>
              <w:spacing w:before="36" w:after="36" w:line="240" w:lineRule="atLeast"/>
            </w:pPr>
            <w:r>
              <w:rPr>
                <w:sz w:val="12"/>
                <w:szCs w:val="16"/>
                <w:lang w:val="es-PE"/>
              </w:rPr>
              <w:t>saldo_casos, tasa_atencion, ratio_saldo</w:t>
            </w:r>
          </w:p>
        </w:tc>
      </w:tr>
      <w:tr w:rsidR="00000000" w14:paraId="7489E1A0" w14:textId="77777777">
        <w:trPr>
          <w:jc w:val="center"/>
        </w:trPr>
        <w:tc>
          <w:tcPr>
            <w:tcW w:w="2628" w:type="dxa"/>
            <w:vAlign w:val="center"/>
          </w:tcPr>
          <w:p w14:paraId="4429E724" w14:textId="77777777" w:rsidR="00000000" w:rsidRDefault="00000000">
            <w:pPr>
              <w:snapToGrid w:val="0"/>
              <w:spacing w:before="34" w:after="34" w:line="240" w:lineRule="atLeast"/>
            </w:pPr>
            <w:r>
              <w:rPr>
                <w:sz w:val="16"/>
                <w:szCs w:val="16"/>
                <w:lang w:val="es-PE"/>
              </w:rPr>
              <w:t>Temporal Descriptors</w:t>
            </w:r>
          </w:p>
        </w:tc>
        <w:tc>
          <w:tcPr>
            <w:tcW w:w="2628" w:type="dxa"/>
            <w:vAlign w:val="center"/>
          </w:tcPr>
          <w:p w14:paraId="1695311D" w14:textId="77777777" w:rsidR="00000000" w:rsidRDefault="00000000">
            <w:pPr>
              <w:snapToGrid w:val="0"/>
              <w:spacing w:before="36" w:after="36" w:line="240" w:lineRule="atLeast"/>
            </w:pPr>
            <w:r>
              <w:rPr>
                <w:sz w:val="12"/>
                <w:szCs w:val="16"/>
                <w:lang w:val="es-PE"/>
              </w:rPr>
              <w:t>anio_centrado†, post_pandemia, periodo_pandemia_2020</w:t>
            </w:r>
          </w:p>
        </w:tc>
      </w:tr>
      <w:tr w:rsidR="00000000" w14:paraId="4B2CB7D9" w14:textId="77777777">
        <w:trPr>
          <w:jc w:val="center"/>
        </w:trPr>
        <w:tc>
          <w:tcPr>
            <w:tcW w:w="2628" w:type="dxa"/>
            <w:vAlign w:val="center"/>
          </w:tcPr>
          <w:p w14:paraId="68A1AAE3" w14:textId="77777777" w:rsidR="00000000" w:rsidRDefault="00000000">
            <w:pPr>
              <w:snapToGrid w:val="0"/>
              <w:spacing w:before="36" w:after="36" w:line="240" w:lineRule="atLeast"/>
            </w:pPr>
            <w:r>
              <w:rPr>
                <w:sz w:val="16"/>
                <w:szCs w:val="16"/>
                <w:lang w:val="es-PE"/>
              </w:rPr>
              <w:t>Categorical Interactions (2nd Order)</w:t>
            </w:r>
          </w:p>
        </w:tc>
        <w:tc>
          <w:tcPr>
            <w:tcW w:w="2628" w:type="dxa"/>
            <w:vAlign w:val="center"/>
          </w:tcPr>
          <w:p w14:paraId="1D25B8BC" w14:textId="77777777" w:rsidR="00000000" w:rsidRDefault="00000000">
            <w:pPr>
              <w:snapToGrid w:val="0"/>
              <w:spacing w:before="36" w:after="36" w:line="240" w:lineRule="atLeast"/>
            </w:pPr>
            <w:r>
              <w:rPr>
                <w:sz w:val="12"/>
                <w:szCs w:val="16"/>
                <w:lang w:val="es-PE"/>
              </w:rPr>
              <w:t>inter_distrito_tipo_caso, inter_materia_tipo_fiscalia, inter_tipo_fiscalia_especialidad</w:t>
            </w:r>
          </w:p>
        </w:tc>
      </w:tr>
      <w:tr w:rsidR="00000000" w14:paraId="011DD2AD" w14:textId="77777777">
        <w:trPr>
          <w:jc w:val="center"/>
        </w:trPr>
        <w:tc>
          <w:tcPr>
            <w:tcW w:w="2628" w:type="dxa"/>
            <w:vAlign w:val="center"/>
          </w:tcPr>
          <w:p w14:paraId="0D95D87A" w14:textId="77777777" w:rsidR="00000000" w:rsidRDefault="00000000">
            <w:pPr>
              <w:snapToGrid w:val="0"/>
              <w:spacing w:before="36" w:after="36" w:line="240" w:lineRule="atLeast"/>
            </w:pPr>
            <w:r>
              <w:rPr>
                <w:sz w:val="16"/>
                <w:szCs w:val="16"/>
                <w:lang w:val="en-US"/>
              </w:rPr>
              <w:t>Lagged Historical Metrics (by Prosecutorial District)</w:t>
            </w:r>
          </w:p>
        </w:tc>
        <w:tc>
          <w:tcPr>
            <w:tcW w:w="2628" w:type="dxa"/>
            <w:vAlign w:val="center"/>
          </w:tcPr>
          <w:p w14:paraId="489E6F3A" w14:textId="77777777" w:rsidR="00000000" w:rsidRDefault="00000000">
            <w:pPr>
              <w:snapToGrid w:val="0"/>
              <w:spacing w:before="36" w:after="36" w:line="240" w:lineRule="atLeast"/>
            </w:pPr>
            <w:r>
              <w:rPr>
                <w:sz w:val="12"/>
                <w:szCs w:val="16"/>
                <w:lang w:val="en-US"/>
              </w:rPr>
              <w:t>hist_ingresado_mean_prev_dist_pjfs, hist_atendido_mean_prev_dist_pjfs, hist_saldo_mean_prev_dist_pjfs, growth_ingresado_prev_dist_pjfs, growth_atendido_prev_dist_pjfs</w:t>
            </w:r>
          </w:p>
        </w:tc>
      </w:tr>
    </w:tbl>
    <w:p w14:paraId="7027D8B6" w14:textId="77777777" w:rsidR="00000000" w:rsidRDefault="00000000">
      <w:pPr>
        <w:pStyle w:val="Notetable"/>
      </w:pPr>
      <w:r>
        <w:t>Note: † Subsequently excluded from the candidate feature matrix due to direct collinearity with the calendar year (Section III.B.5).</w:t>
      </w:r>
    </w:p>
    <w:p w14:paraId="43B1C238" w14:textId="77777777" w:rsidR="00000000" w:rsidRDefault="00000000">
      <w:pPr>
        <w:pStyle w:val="Ttulo3"/>
        <w:ind w:firstLine="0"/>
        <w:rPr>
          <w:rFonts w:ascii="Times New Roman" w:hAnsi="Times New Roman" w:cs="Times New Roman"/>
        </w:rPr>
      </w:pPr>
      <w:r>
        <w:t>3) Study Period</w:t>
      </w:r>
    </w:p>
    <w:p w14:paraId="1574A65A" w14:textId="77777777" w:rsidR="00000000" w:rsidRDefault="00000000">
      <w:pPr>
        <w:snapToGrid w:val="0"/>
        <w:ind w:firstLine="360"/>
        <w:jc w:val="both"/>
        <w:rPr>
          <w:rFonts w:ascii="Times New Roman" w:hAnsi="Times New Roman" w:cs="Times New Roman"/>
          <w:lang w:val="en-US"/>
        </w:rPr>
      </w:pPr>
      <w:r>
        <w:rPr>
          <w:rFonts w:ascii="Times New Roman" w:hAnsi="Times New Roman" w:cs="Times New Roman"/>
          <w:lang w:val="en-US"/>
        </w:rPr>
        <w:t>The unified dataset covers the period from January 2019 to May 2026 (partial), consolidating a matrix of 9,593 records after the integration process. To simulate a real-world environment and eliminate any risk of data leakage, the data partitioning was structured using a year-block walk-forward cross-validation scheme (4 folds).</w:t>
      </w:r>
    </w:p>
    <w:p w14:paraId="371E9387" w14:textId="77777777" w:rsidR="00000000" w:rsidRDefault="00000000">
      <w:pPr>
        <w:snapToGrid w:val="0"/>
        <w:ind w:firstLine="360"/>
        <w:jc w:val="both"/>
        <w:rPr>
          <w:b/>
          <w:bCs/>
        </w:rPr>
      </w:pPr>
      <w:r>
        <w:rPr>
          <w:rFonts w:ascii="Times New Roman" w:hAnsi="Times New Roman" w:cs="Times New Roman"/>
          <w:lang w:val="en-US"/>
        </w:rPr>
        <w:t>The chronological distribution was configured as follows: the 2019–2023 period was reserved for the primary training stage (subdivided into an internal training block spanning 2019–2022 and an internal validation block corresponding to 2023, used exclusively for consensus-based feature selection); the 2024 block was allocated to the external validation and probabilistic calibration stage; the 2025 observations were isolated as the hold-out test set; finally, the available records from 2026 were used as an independent prospective evaluation set. A summary of these characteristics is presented in Table III.</w:t>
      </w:r>
    </w:p>
    <w:p w14:paraId="2B0E6ACD" w14:textId="77777777" w:rsidR="00000000" w:rsidRDefault="00000000">
      <w:pPr>
        <w:pStyle w:val="TableCaption"/>
        <w:rPr>
          <w:b/>
          <w:bCs/>
          <w:lang w:val="es-PE"/>
        </w:rPr>
      </w:pPr>
      <w:r>
        <w:rPr>
          <w:b/>
          <w:bCs/>
        </w:rPr>
        <w:t xml:space="preserve">TABLE III. </w:t>
      </w:r>
      <w:r>
        <w:t>GENERAL CHARACTERISTICS OF THE DATASET</w:t>
      </w:r>
    </w:p>
    <w:tbl>
      <w:tblPr>
        <w:tblW w:w="0" w:type="auto"/>
        <w:tblLayout w:type="fixed"/>
        <w:tblLook w:val="0000" w:firstRow="0" w:lastRow="0" w:firstColumn="0" w:lastColumn="0" w:noHBand="0" w:noVBand="0"/>
      </w:tblPr>
      <w:tblGrid>
        <w:gridCol w:w="2759"/>
        <w:gridCol w:w="2141"/>
      </w:tblGrid>
      <w:tr w:rsidR="00000000" w14:paraId="418CC8C9" w14:textId="77777777">
        <w:trPr>
          <w:tblHeader/>
        </w:trPr>
        <w:tc>
          <w:tcPr>
            <w:tcW w:w="2759" w:type="dxa"/>
            <w:tcBorders>
              <w:bottom w:val="single" w:sz="4" w:space="0" w:color="000000"/>
            </w:tcBorders>
            <w:vAlign w:val="center"/>
          </w:tcPr>
          <w:p w14:paraId="6323FC42" w14:textId="77777777" w:rsidR="00000000" w:rsidRDefault="00000000">
            <w:pPr>
              <w:snapToGrid w:val="0"/>
              <w:spacing w:before="36" w:after="36"/>
            </w:pPr>
            <w:r>
              <w:rPr>
                <w:rFonts w:ascii="Times New Roman" w:hAnsi="Times New Roman" w:cs="Times New Roman"/>
                <w:b/>
                <w:bCs/>
                <w:sz w:val="16"/>
                <w:szCs w:val="16"/>
                <w:lang w:val="es-PE"/>
              </w:rPr>
              <w:t>Characteristic</w:t>
            </w:r>
          </w:p>
        </w:tc>
        <w:tc>
          <w:tcPr>
            <w:tcW w:w="2141" w:type="dxa"/>
            <w:tcBorders>
              <w:bottom w:val="single" w:sz="4" w:space="0" w:color="000000"/>
            </w:tcBorders>
            <w:vAlign w:val="center"/>
          </w:tcPr>
          <w:p w14:paraId="76915C3F" w14:textId="77777777" w:rsidR="00000000" w:rsidRDefault="00000000">
            <w:pPr>
              <w:snapToGrid w:val="0"/>
              <w:spacing w:before="36" w:after="36"/>
            </w:pPr>
            <w:r>
              <w:rPr>
                <w:rFonts w:ascii="Times New Roman" w:hAnsi="Times New Roman" w:cs="Times New Roman"/>
                <w:b/>
                <w:bCs/>
                <w:sz w:val="16"/>
                <w:szCs w:val="16"/>
                <w:lang w:val="es-PE"/>
              </w:rPr>
              <w:t>Value</w:t>
            </w:r>
          </w:p>
        </w:tc>
      </w:tr>
      <w:tr w:rsidR="00000000" w14:paraId="7AD39E19" w14:textId="77777777">
        <w:tc>
          <w:tcPr>
            <w:tcW w:w="2759" w:type="dxa"/>
            <w:vAlign w:val="center"/>
          </w:tcPr>
          <w:p w14:paraId="50FF9013" w14:textId="77777777" w:rsidR="00000000" w:rsidRDefault="00000000">
            <w:pPr>
              <w:snapToGrid w:val="0"/>
              <w:spacing w:before="30" w:after="30"/>
            </w:pPr>
            <w:r>
              <w:rPr>
                <w:rFonts w:ascii="Times New Roman" w:hAnsi="Times New Roman" w:cs="Times New Roman"/>
                <w:sz w:val="16"/>
                <w:szCs w:val="16"/>
                <w:lang w:val="es-PE"/>
              </w:rPr>
              <w:t>Source</w:t>
            </w:r>
          </w:p>
        </w:tc>
        <w:tc>
          <w:tcPr>
            <w:tcW w:w="2141" w:type="dxa"/>
            <w:vAlign w:val="center"/>
          </w:tcPr>
          <w:p w14:paraId="7747068F" w14:textId="77777777" w:rsidR="00000000" w:rsidRDefault="00000000">
            <w:pPr>
              <w:snapToGrid w:val="0"/>
              <w:spacing w:before="30" w:after="30"/>
            </w:pPr>
            <w:r>
              <w:rPr>
                <w:rFonts w:ascii="Times New Roman" w:hAnsi="Times New Roman" w:cs="Times New Roman"/>
                <w:sz w:val="16"/>
                <w:szCs w:val="16"/>
                <w:lang w:val="es-PE"/>
              </w:rPr>
              <w:t>MPFN – Peru Open Data [18]</w:t>
            </w:r>
          </w:p>
        </w:tc>
      </w:tr>
      <w:tr w:rsidR="00000000" w14:paraId="5A7C2F65" w14:textId="77777777">
        <w:tc>
          <w:tcPr>
            <w:tcW w:w="2759" w:type="dxa"/>
            <w:vAlign w:val="center"/>
          </w:tcPr>
          <w:p w14:paraId="2365128E" w14:textId="77777777" w:rsidR="00000000" w:rsidRDefault="00000000">
            <w:pPr>
              <w:snapToGrid w:val="0"/>
              <w:spacing w:before="30" w:after="30"/>
            </w:pPr>
            <w:r>
              <w:rPr>
                <w:rFonts w:ascii="Times New Roman" w:hAnsi="Times New Roman" w:cs="Times New Roman"/>
                <w:sz w:val="16"/>
                <w:szCs w:val="16"/>
                <w:lang w:val="es-PE"/>
              </w:rPr>
              <w:t>Period</w:t>
            </w:r>
          </w:p>
        </w:tc>
        <w:tc>
          <w:tcPr>
            <w:tcW w:w="2141" w:type="dxa"/>
            <w:vAlign w:val="center"/>
          </w:tcPr>
          <w:p w14:paraId="77859398" w14:textId="77777777" w:rsidR="00000000" w:rsidRDefault="00000000">
            <w:pPr>
              <w:snapToGrid w:val="0"/>
              <w:spacing w:before="30" w:after="30"/>
            </w:pPr>
            <w:r>
              <w:rPr>
                <w:rFonts w:ascii="Times New Roman" w:hAnsi="Times New Roman" w:cs="Times New Roman"/>
                <w:sz w:val="16"/>
                <w:szCs w:val="16"/>
                <w:lang w:val="es-PE"/>
              </w:rPr>
              <w:t>Jan. 2019 – May 2026</w:t>
            </w:r>
          </w:p>
        </w:tc>
      </w:tr>
      <w:tr w:rsidR="00000000" w14:paraId="1CC29659" w14:textId="77777777">
        <w:tc>
          <w:tcPr>
            <w:tcW w:w="2759" w:type="dxa"/>
            <w:vAlign w:val="center"/>
          </w:tcPr>
          <w:p w14:paraId="69331539" w14:textId="77777777" w:rsidR="00000000" w:rsidRDefault="00000000">
            <w:pPr>
              <w:snapToGrid w:val="0"/>
              <w:spacing w:before="30" w:after="30"/>
            </w:pPr>
            <w:r>
              <w:rPr>
                <w:rFonts w:ascii="Times New Roman" w:hAnsi="Times New Roman" w:cs="Times New Roman"/>
                <w:sz w:val="16"/>
                <w:szCs w:val="16"/>
                <w:lang w:val="es-PE"/>
              </w:rPr>
              <w:t>Total Records</w:t>
            </w:r>
          </w:p>
        </w:tc>
        <w:tc>
          <w:tcPr>
            <w:tcW w:w="2141" w:type="dxa"/>
            <w:vAlign w:val="center"/>
          </w:tcPr>
          <w:p w14:paraId="67C21C3F" w14:textId="77777777" w:rsidR="00000000" w:rsidRDefault="00000000">
            <w:pPr>
              <w:snapToGrid w:val="0"/>
              <w:spacing w:before="30" w:after="30"/>
            </w:pPr>
            <w:r>
              <w:rPr>
                <w:rFonts w:ascii="Times New Roman" w:hAnsi="Times New Roman" w:cs="Times New Roman"/>
                <w:sz w:val="16"/>
                <w:szCs w:val="16"/>
                <w:lang w:val="es-PE"/>
              </w:rPr>
              <w:t>9,593</w:t>
            </w:r>
          </w:p>
        </w:tc>
      </w:tr>
      <w:tr w:rsidR="00000000" w14:paraId="55D512E0" w14:textId="77777777">
        <w:tc>
          <w:tcPr>
            <w:tcW w:w="2759" w:type="dxa"/>
            <w:vAlign w:val="center"/>
          </w:tcPr>
          <w:p w14:paraId="700E98AA" w14:textId="77777777" w:rsidR="00000000" w:rsidRDefault="00000000">
            <w:pPr>
              <w:snapToGrid w:val="0"/>
              <w:spacing w:before="30" w:after="30"/>
            </w:pPr>
            <w:r>
              <w:rPr>
                <w:rFonts w:ascii="Times New Roman" w:hAnsi="Times New Roman" w:cs="Times New Roman"/>
                <w:sz w:val="16"/>
                <w:szCs w:val="16"/>
                <w:lang w:val="es-PE"/>
              </w:rPr>
              <w:t>Original Fields</w:t>
            </w:r>
          </w:p>
        </w:tc>
        <w:tc>
          <w:tcPr>
            <w:tcW w:w="2141" w:type="dxa"/>
            <w:vAlign w:val="center"/>
          </w:tcPr>
          <w:p w14:paraId="7B03A4C5" w14:textId="77777777" w:rsidR="00000000" w:rsidRDefault="00000000">
            <w:pPr>
              <w:snapToGrid w:val="0"/>
              <w:spacing w:before="30" w:after="30"/>
            </w:pPr>
            <w:r>
              <w:rPr>
                <w:rFonts w:ascii="Times New Roman" w:hAnsi="Times New Roman" w:cs="Times New Roman"/>
                <w:sz w:val="16"/>
                <w:szCs w:val="16"/>
                <w:lang w:val="es-PE"/>
              </w:rPr>
              <w:t>16</w:t>
            </w:r>
          </w:p>
        </w:tc>
      </w:tr>
      <w:tr w:rsidR="00000000" w14:paraId="37B13BAF" w14:textId="77777777">
        <w:tc>
          <w:tcPr>
            <w:tcW w:w="2759" w:type="dxa"/>
            <w:vAlign w:val="center"/>
          </w:tcPr>
          <w:p w14:paraId="6A41F835" w14:textId="77777777" w:rsidR="00000000" w:rsidRDefault="00000000">
            <w:pPr>
              <w:snapToGrid w:val="0"/>
              <w:spacing w:before="30" w:after="30"/>
            </w:pPr>
            <w:r>
              <w:rPr>
                <w:rFonts w:ascii="Times New Roman" w:hAnsi="Times New Roman" w:cs="Times New Roman"/>
                <w:sz w:val="16"/>
                <w:szCs w:val="16"/>
                <w:lang w:val="es-PE"/>
              </w:rPr>
              <w:t>Candidate Features (Initial)</w:t>
            </w:r>
          </w:p>
        </w:tc>
        <w:tc>
          <w:tcPr>
            <w:tcW w:w="2141" w:type="dxa"/>
            <w:vAlign w:val="center"/>
          </w:tcPr>
          <w:p w14:paraId="7FDC0B7A" w14:textId="77777777" w:rsidR="00000000" w:rsidRDefault="00000000">
            <w:pPr>
              <w:snapToGrid w:val="0"/>
              <w:spacing w:before="30" w:after="30"/>
            </w:pPr>
            <w:r>
              <w:rPr>
                <w:rFonts w:ascii="Times New Roman" w:hAnsi="Times New Roman" w:cs="Times New Roman"/>
                <w:sz w:val="16"/>
                <w:szCs w:val="16"/>
                <w:lang w:val="es-PE"/>
              </w:rPr>
              <w:t>28</w:t>
            </w:r>
          </w:p>
        </w:tc>
      </w:tr>
      <w:tr w:rsidR="00000000" w14:paraId="0D233B13" w14:textId="77777777">
        <w:tc>
          <w:tcPr>
            <w:tcW w:w="2759" w:type="dxa"/>
            <w:vAlign w:val="center"/>
          </w:tcPr>
          <w:p w14:paraId="254B85DD" w14:textId="77777777" w:rsidR="00000000" w:rsidRDefault="00000000">
            <w:pPr>
              <w:snapToGrid w:val="0"/>
              <w:spacing w:before="30" w:after="30"/>
            </w:pPr>
            <w:r>
              <w:rPr>
                <w:rFonts w:ascii="Times New Roman" w:hAnsi="Times New Roman" w:cs="Times New Roman"/>
                <w:sz w:val="16"/>
                <w:szCs w:val="16"/>
                <w:lang w:val="es-PE"/>
              </w:rPr>
              <w:t>After Pearson Filter (&gt;0.90)</w:t>
            </w:r>
          </w:p>
        </w:tc>
        <w:tc>
          <w:tcPr>
            <w:tcW w:w="2141" w:type="dxa"/>
            <w:vAlign w:val="center"/>
          </w:tcPr>
          <w:p w14:paraId="5D5B283B" w14:textId="77777777" w:rsidR="00000000" w:rsidRDefault="00000000">
            <w:pPr>
              <w:snapToGrid w:val="0"/>
              <w:spacing w:before="30" w:after="30"/>
            </w:pPr>
            <w:r>
              <w:rPr>
                <w:rFonts w:ascii="Times New Roman" w:hAnsi="Times New Roman" w:cs="Times New Roman"/>
                <w:sz w:val="16"/>
                <w:szCs w:val="16"/>
                <w:lang w:val="es-PE"/>
              </w:rPr>
              <w:t>26</w:t>
            </w:r>
          </w:p>
        </w:tc>
      </w:tr>
      <w:tr w:rsidR="00000000" w14:paraId="68758ED5" w14:textId="77777777">
        <w:tc>
          <w:tcPr>
            <w:tcW w:w="2759" w:type="dxa"/>
            <w:vAlign w:val="center"/>
          </w:tcPr>
          <w:p w14:paraId="1B9E0100" w14:textId="77777777" w:rsidR="00000000" w:rsidRDefault="00000000">
            <w:pPr>
              <w:snapToGrid w:val="0"/>
              <w:spacing w:before="30" w:after="30"/>
            </w:pPr>
            <w:r>
              <w:rPr>
                <w:rFonts w:ascii="Times New Roman" w:hAnsi="Times New Roman" w:cs="Times New Roman"/>
                <w:sz w:val="16"/>
                <w:szCs w:val="16"/>
                <w:lang w:val="es-PE"/>
              </w:rPr>
              <w:t>After Cramér's V Filter (&gt;0.80)</w:t>
            </w:r>
          </w:p>
        </w:tc>
        <w:tc>
          <w:tcPr>
            <w:tcW w:w="2141" w:type="dxa"/>
            <w:vAlign w:val="center"/>
          </w:tcPr>
          <w:p w14:paraId="17992037" w14:textId="77777777" w:rsidR="00000000" w:rsidRDefault="00000000">
            <w:pPr>
              <w:snapToGrid w:val="0"/>
              <w:spacing w:before="30" w:after="30"/>
            </w:pPr>
            <w:r>
              <w:rPr>
                <w:rFonts w:ascii="Times New Roman" w:hAnsi="Times New Roman" w:cs="Times New Roman"/>
                <w:sz w:val="16"/>
                <w:szCs w:val="16"/>
                <w:lang w:val="es-PE"/>
              </w:rPr>
              <w:t>17</w:t>
            </w:r>
          </w:p>
        </w:tc>
      </w:tr>
      <w:tr w:rsidR="00000000" w14:paraId="261C83CB" w14:textId="77777777">
        <w:tc>
          <w:tcPr>
            <w:tcW w:w="2759" w:type="dxa"/>
            <w:vAlign w:val="center"/>
          </w:tcPr>
          <w:p w14:paraId="00F56BB5" w14:textId="77777777" w:rsidR="00000000" w:rsidRDefault="00000000">
            <w:pPr>
              <w:snapToGrid w:val="0"/>
              <w:spacing w:before="30" w:after="30"/>
            </w:pPr>
            <w:r>
              <w:rPr>
                <w:rFonts w:ascii="Times New Roman" w:hAnsi="Times New Roman" w:cs="Times New Roman"/>
                <w:sz w:val="16"/>
                <w:szCs w:val="16"/>
                <w:lang w:val="en-US"/>
              </w:rPr>
              <w:t>After Encoding (One-Hot + Frequency)</w:t>
            </w:r>
          </w:p>
        </w:tc>
        <w:tc>
          <w:tcPr>
            <w:tcW w:w="2141" w:type="dxa"/>
            <w:vAlign w:val="center"/>
          </w:tcPr>
          <w:p w14:paraId="6231A890" w14:textId="77777777" w:rsidR="00000000" w:rsidRDefault="00000000">
            <w:pPr>
              <w:snapToGrid w:val="0"/>
              <w:spacing w:before="30" w:after="30"/>
            </w:pPr>
            <w:r>
              <w:rPr>
                <w:rFonts w:ascii="Times New Roman" w:hAnsi="Times New Roman" w:cs="Times New Roman"/>
                <w:sz w:val="16"/>
                <w:szCs w:val="16"/>
                <w:lang w:val="es-PE"/>
              </w:rPr>
              <w:t>433</w:t>
            </w:r>
          </w:p>
        </w:tc>
      </w:tr>
      <w:tr w:rsidR="00000000" w14:paraId="47855089" w14:textId="77777777">
        <w:tc>
          <w:tcPr>
            <w:tcW w:w="2759" w:type="dxa"/>
            <w:vAlign w:val="center"/>
          </w:tcPr>
          <w:p w14:paraId="2EF8BBC5" w14:textId="77777777" w:rsidR="00000000" w:rsidRDefault="00000000">
            <w:pPr>
              <w:snapToGrid w:val="0"/>
              <w:spacing w:before="30" w:after="30"/>
            </w:pPr>
            <w:r>
              <w:rPr>
                <w:rFonts w:ascii="Times New Roman" w:hAnsi="Times New Roman" w:cs="Times New Roman"/>
                <w:sz w:val="16"/>
                <w:szCs w:val="16"/>
                <w:lang w:val="es-PE"/>
              </w:rPr>
              <w:t>Final Features (6-Method Consensus)</w:t>
            </w:r>
          </w:p>
        </w:tc>
        <w:tc>
          <w:tcPr>
            <w:tcW w:w="2141" w:type="dxa"/>
            <w:vAlign w:val="center"/>
          </w:tcPr>
          <w:p w14:paraId="174830D0" w14:textId="77777777" w:rsidR="00000000" w:rsidRDefault="00000000">
            <w:pPr>
              <w:snapToGrid w:val="0"/>
              <w:spacing w:before="30" w:after="30"/>
            </w:pPr>
            <w:r>
              <w:rPr>
                <w:rFonts w:ascii="Times New Roman" w:hAnsi="Times New Roman" w:cs="Times New Roman"/>
                <w:sz w:val="16"/>
                <w:szCs w:val="16"/>
                <w:lang w:val="es-PE"/>
              </w:rPr>
              <w:t>69</w:t>
            </w:r>
          </w:p>
        </w:tc>
      </w:tr>
      <w:tr w:rsidR="00000000" w14:paraId="40BBDADA" w14:textId="77777777">
        <w:tc>
          <w:tcPr>
            <w:tcW w:w="2759" w:type="dxa"/>
            <w:vAlign w:val="center"/>
          </w:tcPr>
          <w:p w14:paraId="606F81B7" w14:textId="77777777" w:rsidR="00000000" w:rsidRDefault="00000000">
            <w:pPr>
              <w:snapToGrid w:val="0"/>
              <w:spacing w:before="30" w:after="30"/>
            </w:pPr>
            <w:r>
              <w:rPr>
                <w:rFonts w:ascii="Times New Roman" w:hAnsi="Times New Roman" w:cs="Times New Roman"/>
                <w:sz w:val="16"/>
                <w:szCs w:val="16"/>
                <w:lang w:val="en-US"/>
              </w:rPr>
              <w:t>Train/Valid/Test/External Split</w:t>
            </w:r>
          </w:p>
        </w:tc>
        <w:tc>
          <w:tcPr>
            <w:tcW w:w="2141" w:type="dxa"/>
            <w:vAlign w:val="center"/>
          </w:tcPr>
          <w:p w14:paraId="30D0438A" w14:textId="77777777" w:rsidR="00000000" w:rsidRDefault="00000000">
            <w:pPr>
              <w:snapToGrid w:val="0"/>
              <w:spacing w:before="30" w:after="30"/>
            </w:pPr>
            <w:r>
              <w:rPr>
                <w:rFonts w:ascii="Times New Roman" w:hAnsi="Times New Roman" w:cs="Times New Roman"/>
                <w:sz w:val="16"/>
                <w:szCs w:val="16"/>
                <w:lang w:val="es-PE"/>
              </w:rPr>
              <w:t>6076 / 1195 / 1199 / 1123</w:t>
            </w:r>
          </w:p>
        </w:tc>
      </w:tr>
      <w:tr w:rsidR="00000000" w14:paraId="1DE0E351" w14:textId="77777777">
        <w:tc>
          <w:tcPr>
            <w:tcW w:w="2759" w:type="dxa"/>
            <w:vAlign w:val="center"/>
          </w:tcPr>
          <w:p w14:paraId="01C7AF3F" w14:textId="77777777" w:rsidR="00000000" w:rsidRDefault="00000000">
            <w:pPr>
              <w:snapToGrid w:val="0"/>
              <w:spacing w:before="30" w:after="30"/>
            </w:pPr>
            <w:r>
              <w:rPr>
                <w:rFonts w:ascii="Times New Roman" w:hAnsi="Times New Roman" w:cs="Times New Roman"/>
                <w:sz w:val="16"/>
                <w:szCs w:val="16"/>
                <w:lang w:val="es-PE"/>
              </w:rPr>
              <w:t>Class Balance (Train)</w:t>
            </w:r>
          </w:p>
        </w:tc>
        <w:tc>
          <w:tcPr>
            <w:tcW w:w="2141" w:type="dxa"/>
            <w:vAlign w:val="center"/>
          </w:tcPr>
          <w:p w14:paraId="649AB364" w14:textId="77777777" w:rsidR="00000000" w:rsidRDefault="00000000">
            <w:pPr>
              <w:snapToGrid w:val="0"/>
              <w:spacing w:before="30" w:after="30"/>
            </w:pPr>
            <w:r>
              <w:rPr>
                <w:rFonts w:ascii="Times New Roman" w:hAnsi="Times New Roman" w:cs="Times New Roman"/>
                <w:sz w:val="16"/>
                <w:szCs w:val="16"/>
                <w:lang w:val="es-PE"/>
              </w:rPr>
              <w:t>86.0% / 14.0%</w:t>
            </w:r>
          </w:p>
        </w:tc>
      </w:tr>
      <w:tr w:rsidR="00000000" w14:paraId="33AED280" w14:textId="77777777">
        <w:tc>
          <w:tcPr>
            <w:tcW w:w="2759" w:type="dxa"/>
            <w:vAlign w:val="center"/>
          </w:tcPr>
          <w:p w14:paraId="577D58B1" w14:textId="77777777" w:rsidR="00000000" w:rsidRDefault="00000000">
            <w:pPr>
              <w:snapToGrid w:val="0"/>
              <w:spacing w:before="30" w:after="30"/>
            </w:pPr>
            <w:r>
              <w:rPr>
                <w:rFonts w:ascii="Times New Roman" w:hAnsi="Times New Roman" w:cs="Times New Roman"/>
                <w:sz w:val="16"/>
                <w:szCs w:val="16"/>
                <w:lang w:val="es-PE"/>
              </w:rPr>
              <w:t>Validation</w:t>
            </w:r>
          </w:p>
        </w:tc>
        <w:tc>
          <w:tcPr>
            <w:tcW w:w="2141" w:type="dxa"/>
            <w:vAlign w:val="center"/>
          </w:tcPr>
          <w:p w14:paraId="7EC055F7" w14:textId="77777777" w:rsidR="00000000" w:rsidRDefault="00000000">
            <w:pPr>
              <w:snapToGrid w:val="0"/>
              <w:spacing w:before="30" w:after="30"/>
            </w:pPr>
            <w:r>
              <w:rPr>
                <w:rFonts w:ascii="Times New Roman" w:hAnsi="Times New Roman" w:cs="Times New Roman"/>
                <w:sz w:val="16"/>
                <w:szCs w:val="16"/>
                <w:lang w:val="es-PE"/>
              </w:rPr>
              <w:t>Year-block, 4 folds</w:t>
            </w:r>
          </w:p>
        </w:tc>
      </w:tr>
    </w:tbl>
    <w:p w14:paraId="54CE5662" w14:textId="77777777" w:rsidR="00000000" w:rsidRDefault="00000000">
      <w:pPr>
        <w:pStyle w:val="Notetable"/>
      </w:pPr>
      <w:r>
        <w:t>Note: The partition is reported as train/validation/test/external. Class balance is expressed as Class 0 / Class 1.</w:t>
      </w:r>
    </w:p>
    <w:p w14:paraId="0AD4DE4C" w14:textId="77777777" w:rsidR="00000000" w:rsidRDefault="00000000">
      <w:pPr>
        <w:pStyle w:val="Ttulo2"/>
      </w:pPr>
      <w:r>
        <w:lastRenderedPageBreak/>
        <w:t>B.</w:t>
      </w:r>
      <w:r>
        <w:tab/>
        <w:t>Methodological Framework</w:t>
      </w:r>
    </w:p>
    <w:p w14:paraId="2360C448" w14:textId="77777777" w:rsidR="00000000" w:rsidRDefault="00000000">
      <w:pPr>
        <w:snapToGrid w:val="0"/>
        <w:ind w:firstLine="360"/>
        <w:jc w:val="both"/>
        <w:rPr>
          <w:rFonts w:ascii="Times New Roman" w:hAnsi="Times New Roman" w:cs="Times New Roman"/>
          <w:lang w:val="en-US"/>
        </w:rPr>
      </w:pPr>
      <w:r>
        <w:rPr>
          <w:rFonts w:ascii="Times New Roman" w:hAnsi="Times New Roman" w:cs="Times New Roman"/>
          <w:lang w:val="en-US"/>
        </w:rPr>
        <w:t>The proposed framework consists of six sequential phases designed to ensure the reproducibility, auditability, and temporal validity of the system (Figure 1).</w:t>
      </w:r>
    </w:p>
    <w:p w14:paraId="5256BA3F" w14:textId="77777777" w:rsidR="00000000" w:rsidRDefault="00000000">
      <w:pPr>
        <w:snapToGrid w:val="0"/>
        <w:ind w:firstLine="360"/>
        <w:jc w:val="both"/>
        <w:rPr>
          <w:rFonts w:ascii="Times New Roman" w:hAnsi="Times New Roman" w:cs="Times New Roman"/>
          <w:lang w:val="en-US"/>
        </w:rPr>
      </w:pPr>
    </w:p>
    <w:p w14:paraId="6433F6A6" w14:textId="77777777" w:rsidR="00000000" w:rsidRDefault="00000000">
      <w:pPr>
        <w:snapToGrid w:val="0"/>
        <w:ind w:firstLine="454"/>
        <w:jc w:val="both"/>
        <w:rPr>
          <w:b/>
          <w:bCs/>
        </w:rPr>
      </w:pPr>
      <w:r>
        <w:rPr>
          <w:lang w:val="es-PE" w:eastAsia="es-PE"/>
        </w:rPr>
        <w:pict w14:anchorId="2C5ED034">
          <v:shape id="_x0000_i1027" type="#_x0000_t75" style="width:213pt;height:99pt" filled="t">
            <v:fill opacity="0" color2="black"/>
            <v:imagedata r:id="rId14" o:title="" croptop="-21f" cropbottom="-21f" cropleft="-10f" cropright="-10f"/>
          </v:shape>
        </w:pict>
      </w:r>
    </w:p>
    <w:p w14:paraId="388A307F" w14:textId="77777777" w:rsidR="00000000" w:rsidRDefault="00000000">
      <w:pPr>
        <w:pStyle w:val="FigureCaption"/>
      </w:pPr>
      <w:r>
        <w:rPr>
          <w:b/>
          <w:bCs/>
        </w:rPr>
        <w:t xml:space="preserve">Figure 1. </w:t>
      </w:r>
      <w:r>
        <w:t>Methodological Framework of Consensus, Temporal Validation, and Explainability for Fiscal Congestion</w:t>
      </w:r>
    </w:p>
    <w:p w14:paraId="28734B16" w14:textId="77777777" w:rsidR="00000000" w:rsidRDefault="00000000">
      <w:pPr>
        <w:pStyle w:val="Ttulo3"/>
        <w:ind w:firstLine="0"/>
        <w:rPr>
          <w:rFonts w:ascii="Times New Roman" w:hAnsi="Times New Roman" w:cs="Times New Roman"/>
        </w:rPr>
      </w:pPr>
      <w:r>
        <w:t>1) Data Quality</w:t>
      </w:r>
    </w:p>
    <w:p w14:paraId="6A144163" w14:textId="77777777" w:rsidR="00000000" w:rsidRDefault="00000000">
      <w:pPr>
        <w:snapToGrid w:val="0"/>
        <w:ind w:firstLine="360"/>
        <w:jc w:val="both"/>
        <w:rPr>
          <w:rFonts w:ascii="Times New Roman" w:hAnsi="Times New Roman" w:cs="Times New Roman"/>
          <w:lang w:val="en-US"/>
        </w:rPr>
      </w:pPr>
      <w:r>
        <w:rPr>
          <w:rFonts w:ascii="Times New Roman" w:hAnsi="Times New Roman" w:cs="Times New Roman"/>
          <w:lang w:val="en-US"/>
        </w:rPr>
        <w:t>This phase included the normalization of categorical variables through the removal of leading and trailing whitespace, standardization to uppercase, and harmonization of missing values, as well as the detection of redundant columns resulting from the annual data integration process and the removal of duplicate records.</w:t>
      </w:r>
    </w:p>
    <w:p w14:paraId="261D6E39" w14:textId="77777777" w:rsidR="00000000" w:rsidRDefault="00000000">
      <w:pPr>
        <w:snapToGrid w:val="0"/>
        <w:ind w:firstLine="360"/>
        <w:jc w:val="both"/>
        <w:rPr>
          <w:rFonts w:ascii="Times New Roman" w:hAnsi="Times New Roman" w:cs="Times New Roman"/>
          <w:lang w:val="en-US"/>
        </w:rPr>
      </w:pPr>
      <w:r>
        <w:rPr>
          <w:rFonts w:ascii="Times New Roman" w:hAnsi="Times New Roman" w:cs="Times New Roman"/>
          <w:lang w:val="en-US"/>
        </w:rPr>
        <w:t xml:space="preserve">For the missing values identified in the </w:t>
      </w:r>
      <w:r>
        <w:rPr>
          <w:rFonts w:ascii="Times New Roman" w:hAnsi="Times New Roman" w:cs="Times New Roman"/>
          <w:i/>
          <w:iCs/>
          <w:lang w:val="en-US"/>
        </w:rPr>
        <w:t>ingresado</w:t>
      </w:r>
      <w:r>
        <w:rPr>
          <w:rFonts w:ascii="Times New Roman" w:hAnsi="Times New Roman" w:cs="Times New Roman"/>
          <w:lang w:val="en-US"/>
        </w:rPr>
        <w:t xml:space="preserve"> and </w:t>
      </w:r>
      <w:r>
        <w:rPr>
          <w:rFonts w:ascii="Times New Roman" w:hAnsi="Times New Roman" w:cs="Times New Roman"/>
          <w:i/>
          <w:iCs/>
          <w:lang w:val="en-US"/>
        </w:rPr>
        <w:t>atendido</w:t>
      </w:r>
      <w:r>
        <w:rPr>
          <w:rFonts w:ascii="Times New Roman" w:hAnsi="Times New Roman" w:cs="Times New Roman"/>
          <w:lang w:val="en-US"/>
        </w:rPr>
        <w:t xml:space="preserve"> fields, imputation was performed using the median computed exclusively from the temporal training blocks to mitigate data leakage. In parallel, binary indicator variables (</w:t>
      </w:r>
      <w:r>
        <w:rPr>
          <w:rFonts w:ascii="Times New Roman" w:hAnsi="Times New Roman" w:cs="Times New Roman"/>
          <w:i/>
          <w:iCs/>
          <w:lang w:val="en-US"/>
        </w:rPr>
        <w:t>flag_nulo_</w:t>
      </w:r>
      <w:r>
        <w:rPr>
          <w:rFonts w:ascii="Times New Roman" w:hAnsi="Times New Roman" w:cs="Times New Roman"/>
          <w:lang w:val="en-US"/>
        </w:rPr>
        <w:t>) were generated to preserve the missingness signal as a potentially predictive attribute.</w:t>
      </w:r>
    </w:p>
    <w:p w14:paraId="521A52D4" w14:textId="77777777" w:rsidR="00000000" w:rsidRDefault="00000000">
      <w:pPr>
        <w:snapToGrid w:val="0"/>
        <w:ind w:firstLine="360"/>
        <w:jc w:val="both"/>
      </w:pPr>
      <w:r>
        <w:rPr>
          <w:rFonts w:ascii="Times New Roman" w:hAnsi="Times New Roman" w:cs="Times New Roman"/>
          <w:lang w:val="en-US"/>
        </w:rPr>
        <w:t>For categorical variables, missing values were imputed using an explicit category (</w:t>
      </w:r>
      <w:r>
        <w:rPr>
          <w:rFonts w:ascii="Times New Roman" w:hAnsi="Times New Roman" w:cs="Times New Roman"/>
          <w:i/>
          <w:iCs/>
          <w:lang w:val="en-US"/>
        </w:rPr>
        <w:t>NO_ESPECIFICADO</w:t>
      </w:r>
      <w:r>
        <w:rPr>
          <w:rFonts w:ascii="Times New Roman" w:hAnsi="Times New Roman" w:cs="Times New Roman"/>
          <w:lang w:val="en-US"/>
        </w:rPr>
        <w:t>) instead of the mode, thereby avoiding the introduction of an artificially dominant class. Finally, the interquartile range (IQR) criterion was applied for the preliminary profiling and identification of numerical outliers.</w:t>
      </w:r>
    </w:p>
    <w:p w14:paraId="56E86BDA" w14:textId="77777777" w:rsidR="00000000" w:rsidRDefault="00000000">
      <w:pPr>
        <w:pStyle w:val="Ttulo3"/>
        <w:ind w:firstLine="0"/>
        <w:rPr>
          <w:rFonts w:ascii="Times New Roman" w:hAnsi="Times New Roman" w:cs="Times New Roman"/>
        </w:rPr>
      </w:pPr>
      <w:r>
        <w:t>2) Proxy Target</w:t>
      </w:r>
    </w:p>
    <w:p w14:paraId="2D7E660F" w14:textId="77777777" w:rsidR="00000000" w:rsidRDefault="00000000">
      <w:pPr>
        <w:snapToGrid w:val="0"/>
        <w:ind w:firstLine="360"/>
        <w:jc w:val="both"/>
        <w:rPr>
          <w:rFonts w:ascii="Times New Roman" w:hAnsi="Times New Roman" w:cs="Times New Roman"/>
          <w:lang w:val="en-US"/>
        </w:rPr>
      </w:pPr>
      <w:r>
        <w:rPr>
          <w:rFonts w:ascii="Times New Roman" w:hAnsi="Times New Roman" w:cs="Times New Roman"/>
          <w:lang w:val="en-US"/>
        </w:rPr>
        <w:t xml:space="preserve">Let </w:t>
      </w:r>
      <w:r>
        <w:t>sᵢ = ingresadoᵢ − atendidoᵢ</w:t>
      </w:r>
      <w:r>
        <w:rPr>
          <w:rFonts w:ascii="Times New Roman" w:hAnsi="Times New Roman" w:cs="Times New Roman"/>
          <w:lang w:val="en-US"/>
        </w:rPr>
        <w:t xml:space="preserve"> denote the case backlog and </w:t>
      </w:r>
      <w:r>
        <w:t>tᵢ = atendidoᵢ / ingresadoᵢ</w:t>
      </w:r>
      <w:r>
        <w:rPr>
          <w:rFonts w:ascii="Times New Roman" w:hAnsi="Times New Roman" w:cs="Times New Roman"/>
          <w:lang w:val="en-US"/>
        </w:rPr>
        <w:t xml:space="preserve"> the case processing rate for record </w:t>
      </w:r>
      <w:r>
        <w:rPr>
          <w:rFonts w:ascii="Times New Roman" w:hAnsi="Times New Roman" w:cs="Times New Roman"/>
          <w:i/>
          <w:iCs/>
          <w:lang w:val="en-US"/>
        </w:rPr>
        <w:t>i</w:t>
      </w:r>
      <w:r>
        <w:rPr>
          <w:rFonts w:ascii="Times New Roman" w:hAnsi="Times New Roman" w:cs="Times New Roman"/>
          <w:lang w:val="en-US"/>
        </w:rPr>
        <w:t xml:space="preserve">. The binary target variable </w:t>
      </w:r>
      <w:r>
        <w:rPr>
          <w:rFonts w:ascii="Times New Roman" w:hAnsi="Times New Roman" w:cs="Times New Roman"/>
          <w:i/>
          <w:iCs/>
          <w:lang w:val="en-US"/>
        </w:rPr>
        <w:t>riesgo_congestion</w:t>
      </w:r>
      <w:r>
        <w:rPr>
          <w:rFonts w:ascii="Times New Roman" w:hAnsi="Times New Roman" w:cs="Times New Roman"/>
          <w:lang w:val="en-US"/>
        </w:rPr>
        <w:t xml:space="preserve"> is defined, under the baseline scenario (P75/P25), as shown in Equation (1).</w:t>
      </w:r>
    </w:p>
    <w:p w14:paraId="651E1B73" w14:textId="77777777" w:rsidR="00000000" w:rsidRDefault="00000000">
      <w:pPr>
        <w:snapToGrid w:val="0"/>
        <w:ind w:firstLine="360"/>
        <w:jc w:val="both"/>
        <w:rPr>
          <w:rFonts w:ascii="Times New Roman" w:hAnsi="Times New Roman" w:cs="Times New Roman"/>
          <w:lang w:val="en-US"/>
        </w:rPr>
      </w:pPr>
    </w:p>
    <w:tbl>
      <w:tblPr>
        <w:tblW w:w="0" w:type="auto"/>
        <w:jc w:val="center"/>
        <w:tblLayout w:type="fixed"/>
        <w:tblLook w:val="0000" w:firstRow="0" w:lastRow="0" w:firstColumn="0" w:lastColumn="0" w:noHBand="0" w:noVBand="0"/>
      </w:tblPr>
      <w:tblGrid>
        <w:gridCol w:w="4253"/>
        <w:gridCol w:w="450"/>
      </w:tblGrid>
      <w:tr w:rsidR="00000000" w14:paraId="2F5A5002" w14:textId="77777777">
        <w:trPr>
          <w:jc w:val="center"/>
        </w:trPr>
        <w:tc>
          <w:tcPr>
            <w:tcW w:w="4253" w:type="dxa"/>
            <w:vAlign w:val="center"/>
          </w:tcPr>
          <w:p w14:paraId="4F0FE7FD" w14:textId="77777777" w:rsidR="00000000" w:rsidRDefault="00000000">
            <w:pPr>
              <w:snapToGrid w:val="0"/>
              <w:jc w:val="center"/>
              <w:rPr>
                <w:rFonts w:ascii="Times New Roman" w:hAnsi="Times New Roman" w:cs="Times New Roman"/>
                <w:lang w:val="en-US"/>
              </w:rPr>
            </w:pPr>
            <w:r>
              <w:rPr>
                <w:lang w:val="es-PE" w:eastAsia="es-PE"/>
              </w:rPr>
              <w:pict w14:anchorId="6C88D88F">
                <v:shape id="_x0000_i1028" type="#_x0000_t75" style="width:201.6pt;height:18.6pt" filled="t">
                  <v:fill opacity="0" color2="black"/>
                  <v:imagedata r:id="rId15" o:title="" croptop="-326f" cropbottom="-326f" cropleft="-7f" cropright="-14f"/>
                </v:shape>
              </w:pict>
            </w:r>
          </w:p>
        </w:tc>
        <w:tc>
          <w:tcPr>
            <w:tcW w:w="450" w:type="dxa"/>
            <w:vAlign w:val="center"/>
          </w:tcPr>
          <w:p w14:paraId="3043AD40" w14:textId="77777777" w:rsidR="00000000" w:rsidRDefault="00000000">
            <w:pPr>
              <w:snapToGrid w:val="0"/>
              <w:jc w:val="center"/>
            </w:pPr>
            <w:r>
              <w:rPr>
                <w:rFonts w:ascii="Times New Roman" w:hAnsi="Times New Roman" w:cs="Times New Roman"/>
                <w:lang w:val="en-US"/>
              </w:rPr>
              <w:t>(</w:t>
            </w:r>
            <w:r>
              <w:rPr>
                <w:rFonts w:ascii="Times New Roman" w:hAnsi="Times New Roman" w:cs="Times New Roman"/>
                <w:lang w:val="en-US"/>
              </w:rPr>
              <w:fldChar w:fldCharType="begin"/>
            </w:r>
            <w:r>
              <w:rPr>
                <w:rFonts w:ascii="Times New Roman" w:hAnsi="Times New Roman" w:cs="Times New Roman"/>
                <w:lang w:val="en-US"/>
              </w:rPr>
              <w:instrText xml:space="preserve"> SEQ "Ecu" \* ARABIC </w:instrText>
            </w:r>
            <w:r>
              <w:rPr>
                <w:rFonts w:ascii="Times New Roman" w:hAnsi="Times New Roman" w:cs="Times New Roman"/>
                <w:lang w:val="en-US"/>
              </w:rPr>
              <w:fldChar w:fldCharType="separate"/>
            </w:r>
            <w:r>
              <w:rPr>
                <w:rFonts w:ascii="Times New Roman" w:hAnsi="Times New Roman" w:cs="Times New Roman"/>
                <w:lang w:val="en-US"/>
              </w:rPr>
              <w:t>1</w:t>
            </w:r>
            <w:r>
              <w:rPr>
                <w:rFonts w:ascii="Times New Roman" w:hAnsi="Times New Roman" w:cs="Times New Roman"/>
                <w:lang w:val="en-US"/>
              </w:rPr>
              <w:fldChar w:fldCharType="end"/>
            </w:r>
            <w:r>
              <w:rPr>
                <w:rFonts w:ascii="Times New Roman" w:hAnsi="Times New Roman" w:cs="Times New Roman"/>
                <w:lang w:val="en-US"/>
              </w:rPr>
              <w:t>)</w:t>
            </w:r>
          </w:p>
        </w:tc>
      </w:tr>
    </w:tbl>
    <w:p w14:paraId="36BC3BD0" w14:textId="77777777" w:rsidR="00000000" w:rsidRDefault="00000000">
      <w:pPr>
        <w:snapToGrid w:val="0"/>
        <w:ind w:firstLine="360"/>
        <w:jc w:val="both"/>
        <w:rPr>
          <w:rFonts w:ascii="Times New Roman" w:hAnsi="Times New Roman" w:cs="Times New Roman"/>
          <w:lang w:val="en-US"/>
        </w:rPr>
      </w:pPr>
    </w:p>
    <w:p w14:paraId="6E4F614B" w14:textId="77777777" w:rsidR="00000000" w:rsidRDefault="00000000">
      <w:pPr>
        <w:snapToGrid w:val="0"/>
        <w:ind w:firstLine="360"/>
        <w:jc w:val="both"/>
      </w:pPr>
      <w:r>
        <w:rPr>
          <w:rFonts w:ascii="Times New Roman" w:hAnsi="Times New Roman" w:cs="Times New Roman"/>
          <w:lang w:val="en-US"/>
        </w:rPr>
        <w:t xml:space="preserve">where the percentile thresholds </w:t>
      </w:r>
      <w:r>
        <w:rPr>
          <w:i/>
          <w:iCs/>
        </w:rPr>
        <w:t>q</w:t>
      </w:r>
      <w:r>
        <w:rPr>
          <w:vertAlign w:val="subscript"/>
        </w:rPr>
        <w:t xml:space="preserve">75 </w:t>
      </w:r>
      <w:r>
        <w:t xml:space="preserve">and </w:t>
      </w:r>
      <w:r>
        <w:rPr>
          <w:i/>
          <w:iCs/>
        </w:rPr>
        <w:t>q</w:t>
      </w:r>
      <w:r>
        <w:rPr>
          <w:vertAlign w:val="subscript"/>
        </w:rPr>
        <w:t>25</w:t>
      </w:r>
      <w:r>
        <w:rPr>
          <w:rFonts w:ascii="Times New Roman" w:hAnsi="Times New Roman" w:cs="Times New Roman"/>
          <w:lang w:val="en-US"/>
        </w:rPr>
        <w:t xml:space="preserve"> are computed exclusively from the training block. The framework formally defines this label as an operational proxy signal rather than as an official certification of prosecutorial congestion or a causal inference. This design follows a conservative criterion aimed at isolating situations of severe operational overload in an auditable manner.</w:t>
      </w:r>
    </w:p>
    <w:p w14:paraId="76546611" w14:textId="77777777" w:rsidR="00000000" w:rsidRDefault="00000000">
      <w:pPr>
        <w:pStyle w:val="Ttulo3"/>
        <w:ind w:firstLine="0"/>
        <w:rPr>
          <w:rFonts w:ascii="Times New Roman" w:hAnsi="Times New Roman" w:cs="Times New Roman"/>
        </w:rPr>
      </w:pPr>
      <w:r>
        <w:t>3) Target Sensitivity Analysis</w:t>
      </w:r>
    </w:p>
    <w:p w14:paraId="1EDC82B4" w14:textId="77777777" w:rsidR="00000000" w:rsidRDefault="00000000">
      <w:pPr>
        <w:snapToGrid w:val="0"/>
        <w:ind w:firstLine="360"/>
        <w:jc w:val="both"/>
        <w:rPr>
          <w:rFonts w:ascii="Times New Roman" w:hAnsi="Times New Roman" w:cs="Times New Roman"/>
          <w:lang w:val="en-US"/>
        </w:rPr>
      </w:pPr>
      <w:r>
        <w:rPr>
          <w:rFonts w:ascii="Times New Roman" w:hAnsi="Times New Roman" w:cs="Times New Roman"/>
          <w:lang w:val="en-US"/>
        </w:rPr>
        <w:t xml:space="preserve">Since </w:t>
      </w:r>
      <w:r>
        <w:rPr>
          <w:rFonts w:ascii="Times New Roman" w:hAnsi="Times New Roman" w:cs="Times New Roman"/>
          <w:i/>
          <w:iCs/>
          <w:lang w:val="en-US"/>
        </w:rPr>
        <w:t>riesgo_congestion</w:t>
      </w:r>
      <w:r>
        <w:rPr>
          <w:rFonts w:ascii="Times New Roman" w:hAnsi="Times New Roman" w:cs="Times New Roman"/>
          <w:lang w:val="en-US"/>
        </w:rPr>
        <w:t xml:space="preserve"> is a proxy label, its robustness to the arbitrary selection of percentile thresholds must be verified before it is adopted as the basis for modeling. </w:t>
      </w:r>
    </w:p>
    <w:p w14:paraId="0C8EF5DB" w14:textId="77777777" w:rsidR="00000000" w:rsidRDefault="00000000">
      <w:pPr>
        <w:snapToGrid w:val="0"/>
        <w:ind w:firstLine="360"/>
        <w:jc w:val="both"/>
        <w:rPr>
          <w:b/>
          <w:bCs/>
        </w:rPr>
      </w:pPr>
      <w:r>
        <w:rPr>
          <w:rFonts w:ascii="Times New Roman" w:hAnsi="Times New Roman" w:cs="Times New Roman"/>
          <w:lang w:val="en-US"/>
        </w:rPr>
        <w:t>To this end, three alternative scenarios were established as a parallel sensitivity analysis (Table IV).</w:t>
      </w:r>
    </w:p>
    <w:p w14:paraId="637A8A74" w14:textId="77777777" w:rsidR="00000000" w:rsidRDefault="00000000">
      <w:pPr>
        <w:pStyle w:val="TableCaption"/>
        <w:rPr>
          <w:b/>
          <w:bCs/>
          <w:lang w:val="es-PE"/>
        </w:rPr>
      </w:pPr>
      <w:r>
        <w:rPr>
          <w:b/>
          <w:bCs/>
        </w:rPr>
        <w:t xml:space="preserve">TABLE IV. </w:t>
      </w:r>
      <w:r>
        <w:t>SENSITIVITY ANALYSIS OF THE PROXY TARGET ACROSS SCENARIOS</w:t>
      </w:r>
    </w:p>
    <w:tbl>
      <w:tblPr>
        <w:tblW w:w="0" w:type="auto"/>
        <w:tblLayout w:type="fixed"/>
        <w:tblLook w:val="0000" w:firstRow="0" w:lastRow="0" w:firstColumn="0" w:lastColumn="0" w:noHBand="0" w:noVBand="0"/>
      </w:tblPr>
      <w:tblGrid>
        <w:gridCol w:w="942"/>
        <w:gridCol w:w="831"/>
        <w:gridCol w:w="732"/>
        <w:gridCol w:w="679"/>
        <w:gridCol w:w="1063"/>
        <w:gridCol w:w="1009"/>
      </w:tblGrid>
      <w:tr w:rsidR="00000000" w14:paraId="17C31DD1" w14:textId="77777777">
        <w:tc>
          <w:tcPr>
            <w:tcW w:w="942" w:type="dxa"/>
            <w:tcBorders>
              <w:bottom w:val="single" w:sz="4" w:space="0" w:color="000000"/>
            </w:tcBorders>
          </w:tcPr>
          <w:p w14:paraId="6F1E714F" w14:textId="77777777" w:rsidR="00000000" w:rsidRDefault="00000000">
            <w:pPr>
              <w:snapToGrid w:val="0"/>
              <w:spacing w:before="36" w:after="36"/>
              <w:jc w:val="both"/>
            </w:pPr>
            <w:r>
              <w:rPr>
                <w:rFonts w:ascii="Times New Roman" w:hAnsi="Times New Roman" w:cs="Times New Roman"/>
                <w:b/>
                <w:bCs/>
                <w:sz w:val="16"/>
                <w:szCs w:val="16"/>
                <w:lang w:val="es-PE"/>
              </w:rPr>
              <w:t>Threshold</w:t>
            </w:r>
          </w:p>
        </w:tc>
        <w:tc>
          <w:tcPr>
            <w:tcW w:w="831" w:type="dxa"/>
            <w:tcBorders>
              <w:bottom w:val="single" w:sz="4" w:space="0" w:color="000000"/>
            </w:tcBorders>
          </w:tcPr>
          <w:p w14:paraId="7DEDD67C" w14:textId="77777777" w:rsidR="00000000" w:rsidRDefault="00000000">
            <w:pPr>
              <w:snapToGrid w:val="0"/>
              <w:spacing w:before="36" w:after="36"/>
              <w:jc w:val="both"/>
            </w:pPr>
            <w:r>
              <w:rPr>
                <w:rFonts w:ascii="Times New Roman" w:hAnsi="Times New Roman" w:cs="Times New Roman"/>
                <w:b/>
                <w:bCs/>
                <w:sz w:val="16"/>
                <w:szCs w:val="16"/>
                <w:lang w:val="es-PE"/>
              </w:rPr>
              <w:t>Train %</w:t>
            </w:r>
          </w:p>
        </w:tc>
        <w:tc>
          <w:tcPr>
            <w:tcW w:w="732" w:type="dxa"/>
            <w:tcBorders>
              <w:bottom w:val="single" w:sz="4" w:space="0" w:color="000000"/>
            </w:tcBorders>
          </w:tcPr>
          <w:p w14:paraId="284A5DBE" w14:textId="77777777" w:rsidR="00000000" w:rsidRDefault="00000000">
            <w:pPr>
              <w:snapToGrid w:val="0"/>
              <w:spacing w:before="36" w:after="36"/>
              <w:jc w:val="both"/>
            </w:pPr>
            <w:r>
              <w:rPr>
                <w:rFonts w:ascii="Times New Roman" w:hAnsi="Times New Roman" w:cs="Times New Roman"/>
                <w:b/>
                <w:bCs/>
                <w:sz w:val="16"/>
                <w:szCs w:val="16"/>
                <w:lang w:val="es-PE"/>
              </w:rPr>
              <w:t>Test %</w:t>
            </w:r>
          </w:p>
        </w:tc>
        <w:tc>
          <w:tcPr>
            <w:tcW w:w="679" w:type="dxa"/>
            <w:tcBorders>
              <w:bottom w:val="single" w:sz="4" w:space="0" w:color="000000"/>
            </w:tcBorders>
          </w:tcPr>
          <w:p w14:paraId="47FAFDE4" w14:textId="77777777" w:rsidR="00000000" w:rsidRDefault="00000000">
            <w:pPr>
              <w:snapToGrid w:val="0"/>
              <w:spacing w:before="36" w:after="36"/>
              <w:jc w:val="both"/>
            </w:pPr>
            <w:r>
              <w:rPr>
                <w:rFonts w:ascii="Times New Roman" w:hAnsi="Times New Roman" w:cs="Times New Roman"/>
                <w:b/>
                <w:bCs/>
                <w:sz w:val="16"/>
                <w:szCs w:val="16"/>
                <w:lang w:val="es-PE"/>
              </w:rPr>
              <w:t>Ext %</w:t>
            </w:r>
          </w:p>
        </w:tc>
        <w:tc>
          <w:tcPr>
            <w:tcW w:w="1063" w:type="dxa"/>
            <w:tcBorders>
              <w:bottom w:val="single" w:sz="4" w:space="0" w:color="000000"/>
            </w:tcBorders>
          </w:tcPr>
          <w:p w14:paraId="02EAF2B1" w14:textId="77777777" w:rsidR="00000000" w:rsidRDefault="00000000">
            <w:pPr>
              <w:snapToGrid w:val="0"/>
              <w:spacing w:before="36" w:after="36"/>
              <w:jc w:val="both"/>
            </w:pPr>
            <w:r>
              <w:rPr>
                <w:rFonts w:ascii="Times New Roman" w:hAnsi="Times New Roman" w:cs="Times New Roman"/>
                <w:b/>
                <w:bCs/>
                <w:sz w:val="16"/>
                <w:szCs w:val="16"/>
                <w:lang w:val="es-PE"/>
              </w:rPr>
              <w:t>CV</w:t>
            </w:r>
          </w:p>
        </w:tc>
        <w:tc>
          <w:tcPr>
            <w:tcW w:w="1009" w:type="dxa"/>
            <w:tcBorders>
              <w:bottom w:val="single" w:sz="4" w:space="0" w:color="000000"/>
            </w:tcBorders>
          </w:tcPr>
          <w:p w14:paraId="0A6D2222" w14:textId="77777777" w:rsidR="00000000" w:rsidRDefault="00000000">
            <w:pPr>
              <w:snapToGrid w:val="0"/>
              <w:spacing w:before="36" w:after="36"/>
              <w:jc w:val="both"/>
            </w:pPr>
            <w:r>
              <w:rPr>
                <w:rFonts w:ascii="Times New Roman" w:hAnsi="Times New Roman" w:cs="Times New Roman"/>
                <w:b/>
                <w:bCs/>
                <w:sz w:val="16"/>
                <w:szCs w:val="16"/>
                <w:lang w:val="es-PE"/>
              </w:rPr>
              <w:t>Role</w:t>
            </w:r>
          </w:p>
        </w:tc>
      </w:tr>
      <w:tr w:rsidR="00000000" w14:paraId="394714C2" w14:textId="77777777">
        <w:tc>
          <w:tcPr>
            <w:tcW w:w="942" w:type="dxa"/>
          </w:tcPr>
          <w:p w14:paraId="335B8C85" w14:textId="77777777" w:rsidR="00000000" w:rsidRDefault="00000000">
            <w:pPr>
              <w:snapToGrid w:val="0"/>
              <w:spacing w:before="36" w:after="36"/>
              <w:jc w:val="both"/>
            </w:pPr>
            <w:r>
              <w:rPr>
                <w:rFonts w:ascii="Times New Roman" w:hAnsi="Times New Roman" w:cs="Times New Roman"/>
                <w:b/>
                <w:bCs/>
                <w:sz w:val="16"/>
                <w:szCs w:val="16"/>
                <w:lang w:val="es-PE"/>
              </w:rPr>
              <w:t>P70/P30</w:t>
            </w:r>
          </w:p>
        </w:tc>
        <w:tc>
          <w:tcPr>
            <w:tcW w:w="831" w:type="dxa"/>
          </w:tcPr>
          <w:p w14:paraId="5A2A9E59" w14:textId="77777777" w:rsidR="00000000" w:rsidRDefault="00000000">
            <w:pPr>
              <w:snapToGrid w:val="0"/>
              <w:spacing w:before="36" w:after="36"/>
              <w:jc w:val="both"/>
            </w:pPr>
            <w:r>
              <w:rPr>
                <w:rFonts w:ascii="Times New Roman" w:hAnsi="Times New Roman" w:cs="Times New Roman"/>
                <w:sz w:val="16"/>
                <w:szCs w:val="16"/>
                <w:lang w:val="es-PE"/>
              </w:rPr>
              <w:t>19.4</w:t>
            </w:r>
          </w:p>
        </w:tc>
        <w:tc>
          <w:tcPr>
            <w:tcW w:w="732" w:type="dxa"/>
          </w:tcPr>
          <w:p w14:paraId="30099E3A" w14:textId="77777777" w:rsidR="00000000" w:rsidRDefault="00000000">
            <w:pPr>
              <w:snapToGrid w:val="0"/>
              <w:spacing w:before="36" w:after="36"/>
              <w:jc w:val="both"/>
            </w:pPr>
            <w:r>
              <w:rPr>
                <w:rFonts w:ascii="Times New Roman" w:hAnsi="Times New Roman" w:cs="Times New Roman"/>
                <w:sz w:val="16"/>
                <w:szCs w:val="16"/>
                <w:lang w:val="es-PE"/>
              </w:rPr>
              <w:t>19.8</w:t>
            </w:r>
          </w:p>
        </w:tc>
        <w:tc>
          <w:tcPr>
            <w:tcW w:w="679" w:type="dxa"/>
          </w:tcPr>
          <w:p w14:paraId="7C07E9CA" w14:textId="77777777" w:rsidR="00000000" w:rsidRDefault="00000000">
            <w:pPr>
              <w:snapToGrid w:val="0"/>
              <w:spacing w:before="36" w:after="36"/>
              <w:jc w:val="both"/>
            </w:pPr>
            <w:r>
              <w:rPr>
                <w:rFonts w:ascii="Times New Roman" w:hAnsi="Times New Roman" w:cs="Times New Roman"/>
                <w:sz w:val="16"/>
                <w:szCs w:val="16"/>
                <w:lang w:val="es-PE"/>
              </w:rPr>
              <w:t>26.3</w:t>
            </w:r>
          </w:p>
        </w:tc>
        <w:tc>
          <w:tcPr>
            <w:tcW w:w="1063" w:type="dxa"/>
          </w:tcPr>
          <w:p w14:paraId="56A0D89A" w14:textId="77777777" w:rsidR="00000000" w:rsidRDefault="00000000">
            <w:pPr>
              <w:snapToGrid w:val="0"/>
              <w:spacing w:before="36" w:after="36"/>
              <w:jc w:val="both"/>
            </w:pPr>
            <w:r>
              <w:rPr>
                <w:rFonts w:ascii="Times New Roman" w:hAnsi="Times New Roman" w:cs="Times New Roman"/>
                <w:sz w:val="16"/>
                <w:szCs w:val="16"/>
                <w:lang w:val="es-PE"/>
              </w:rPr>
              <w:t>0.165 (min.)</w:t>
            </w:r>
          </w:p>
        </w:tc>
        <w:tc>
          <w:tcPr>
            <w:tcW w:w="1009" w:type="dxa"/>
          </w:tcPr>
          <w:p w14:paraId="73A26D46" w14:textId="77777777" w:rsidR="00000000" w:rsidRDefault="00000000">
            <w:pPr>
              <w:snapToGrid w:val="0"/>
              <w:spacing w:before="36" w:after="36"/>
              <w:jc w:val="both"/>
            </w:pPr>
            <w:r>
              <w:rPr>
                <w:rFonts w:ascii="Times New Roman" w:hAnsi="Times New Roman" w:cs="Times New Roman"/>
                <w:sz w:val="16"/>
                <w:szCs w:val="16"/>
                <w:lang w:val="es-PE"/>
              </w:rPr>
              <w:t>Early warning</w:t>
            </w:r>
          </w:p>
        </w:tc>
      </w:tr>
      <w:tr w:rsidR="00000000" w14:paraId="6EA452A9" w14:textId="77777777">
        <w:tc>
          <w:tcPr>
            <w:tcW w:w="942" w:type="dxa"/>
          </w:tcPr>
          <w:p w14:paraId="76F439E7" w14:textId="77777777" w:rsidR="00000000" w:rsidRDefault="00000000">
            <w:pPr>
              <w:snapToGrid w:val="0"/>
              <w:spacing w:before="36" w:after="36"/>
              <w:jc w:val="both"/>
            </w:pPr>
            <w:r>
              <w:rPr>
                <w:rFonts w:ascii="Times New Roman" w:hAnsi="Times New Roman" w:cs="Times New Roman"/>
                <w:b/>
                <w:bCs/>
                <w:sz w:val="16"/>
                <w:szCs w:val="16"/>
                <w:lang w:val="es-PE"/>
              </w:rPr>
              <w:t>P75/P25</w:t>
            </w:r>
          </w:p>
        </w:tc>
        <w:tc>
          <w:tcPr>
            <w:tcW w:w="831" w:type="dxa"/>
          </w:tcPr>
          <w:p w14:paraId="125E548C" w14:textId="77777777" w:rsidR="00000000" w:rsidRDefault="00000000">
            <w:pPr>
              <w:snapToGrid w:val="0"/>
              <w:spacing w:before="36" w:after="36"/>
              <w:jc w:val="both"/>
            </w:pPr>
            <w:r>
              <w:rPr>
                <w:rFonts w:ascii="Times New Roman" w:hAnsi="Times New Roman" w:cs="Times New Roman"/>
                <w:sz w:val="16"/>
                <w:szCs w:val="16"/>
                <w:lang w:val="es-PE"/>
              </w:rPr>
              <w:t>14.0</w:t>
            </w:r>
          </w:p>
        </w:tc>
        <w:tc>
          <w:tcPr>
            <w:tcW w:w="732" w:type="dxa"/>
          </w:tcPr>
          <w:p w14:paraId="47DE3BA0" w14:textId="77777777" w:rsidR="00000000" w:rsidRDefault="00000000">
            <w:pPr>
              <w:snapToGrid w:val="0"/>
              <w:spacing w:before="36" w:after="36"/>
              <w:jc w:val="both"/>
            </w:pPr>
            <w:r>
              <w:rPr>
                <w:rFonts w:ascii="Times New Roman" w:hAnsi="Times New Roman" w:cs="Times New Roman"/>
                <w:sz w:val="16"/>
                <w:szCs w:val="16"/>
                <w:lang w:val="es-PE"/>
              </w:rPr>
              <w:t>14.4</w:t>
            </w:r>
          </w:p>
        </w:tc>
        <w:tc>
          <w:tcPr>
            <w:tcW w:w="679" w:type="dxa"/>
          </w:tcPr>
          <w:p w14:paraId="33A24EE1" w14:textId="77777777" w:rsidR="00000000" w:rsidRDefault="00000000">
            <w:pPr>
              <w:snapToGrid w:val="0"/>
              <w:spacing w:before="36" w:after="36"/>
              <w:jc w:val="both"/>
            </w:pPr>
            <w:r>
              <w:rPr>
                <w:rFonts w:ascii="Times New Roman" w:hAnsi="Times New Roman" w:cs="Times New Roman"/>
                <w:sz w:val="16"/>
                <w:szCs w:val="16"/>
                <w:lang w:val="es-PE"/>
              </w:rPr>
              <w:t>20.2</w:t>
            </w:r>
          </w:p>
        </w:tc>
        <w:tc>
          <w:tcPr>
            <w:tcW w:w="1063" w:type="dxa"/>
          </w:tcPr>
          <w:p w14:paraId="74B8DAD6" w14:textId="77777777" w:rsidR="00000000" w:rsidRDefault="00000000">
            <w:pPr>
              <w:snapToGrid w:val="0"/>
              <w:spacing w:before="36" w:after="36"/>
              <w:jc w:val="both"/>
            </w:pPr>
            <w:r>
              <w:rPr>
                <w:rFonts w:ascii="Times New Roman" w:hAnsi="Times New Roman" w:cs="Times New Roman"/>
                <w:sz w:val="16"/>
                <w:szCs w:val="16"/>
                <w:lang w:val="es-PE"/>
              </w:rPr>
              <w:t>0.219</w:t>
            </w:r>
          </w:p>
        </w:tc>
        <w:tc>
          <w:tcPr>
            <w:tcW w:w="1009" w:type="dxa"/>
          </w:tcPr>
          <w:p w14:paraId="72B0406C" w14:textId="77777777" w:rsidR="00000000" w:rsidRDefault="00000000">
            <w:pPr>
              <w:snapToGrid w:val="0"/>
              <w:spacing w:before="36" w:after="36"/>
              <w:jc w:val="both"/>
            </w:pPr>
            <w:r>
              <w:rPr>
                <w:rFonts w:ascii="Times New Roman" w:hAnsi="Times New Roman" w:cs="Times New Roman"/>
                <w:sz w:val="16"/>
                <w:szCs w:val="16"/>
                <w:lang w:val="es-PE"/>
              </w:rPr>
              <w:t>Primary</w:t>
            </w:r>
          </w:p>
        </w:tc>
      </w:tr>
      <w:tr w:rsidR="00000000" w14:paraId="7FC8822E" w14:textId="77777777">
        <w:tc>
          <w:tcPr>
            <w:tcW w:w="942" w:type="dxa"/>
          </w:tcPr>
          <w:p w14:paraId="31041F19" w14:textId="77777777" w:rsidR="00000000" w:rsidRDefault="00000000">
            <w:pPr>
              <w:snapToGrid w:val="0"/>
              <w:spacing w:before="36" w:after="36"/>
              <w:jc w:val="both"/>
            </w:pPr>
            <w:r>
              <w:rPr>
                <w:rFonts w:ascii="Times New Roman" w:hAnsi="Times New Roman" w:cs="Times New Roman"/>
                <w:b/>
                <w:bCs/>
                <w:sz w:val="16"/>
                <w:szCs w:val="16"/>
                <w:lang w:val="es-PE"/>
              </w:rPr>
              <w:t>P80/P20</w:t>
            </w:r>
          </w:p>
        </w:tc>
        <w:tc>
          <w:tcPr>
            <w:tcW w:w="831" w:type="dxa"/>
          </w:tcPr>
          <w:p w14:paraId="0629C5BF" w14:textId="77777777" w:rsidR="00000000" w:rsidRDefault="00000000">
            <w:pPr>
              <w:snapToGrid w:val="0"/>
              <w:spacing w:before="36" w:after="36"/>
              <w:jc w:val="both"/>
            </w:pPr>
            <w:r>
              <w:rPr>
                <w:rFonts w:ascii="Times New Roman" w:hAnsi="Times New Roman" w:cs="Times New Roman"/>
                <w:sz w:val="16"/>
                <w:szCs w:val="16"/>
                <w:lang w:val="es-PE"/>
              </w:rPr>
              <w:t>9.3</w:t>
            </w:r>
          </w:p>
        </w:tc>
        <w:tc>
          <w:tcPr>
            <w:tcW w:w="732" w:type="dxa"/>
          </w:tcPr>
          <w:p w14:paraId="0B93E4B1" w14:textId="77777777" w:rsidR="00000000" w:rsidRDefault="00000000">
            <w:pPr>
              <w:snapToGrid w:val="0"/>
              <w:spacing w:before="36" w:after="36"/>
              <w:jc w:val="both"/>
            </w:pPr>
            <w:r>
              <w:rPr>
                <w:rFonts w:ascii="Times New Roman" w:hAnsi="Times New Roman" w:cs="Times New Roman"/>
                <w:sz w:val="16"/>
                <w:szCs w:val="16"/>
                <w:lang w:val="es-PE"/>
              </w:rPr>
              <w:t>9.0</w:t>
            </w:r>
          </w:p>
        </w:tc>
        <w:tc>
          <w:tcPr>
            <w:tcW w:w="679" w:type="dxa"/>
          </w:tcPr>
          <w:p w14:paraId="43B90589" w14:textId="77777777" w:rsidR="00000000" w:rsidRDefault="00000000">
            <w:pPr>
              <w:snapToGrid w:val="0"/>
              <w:spacing w:before="36" w:after="36"/>
              <w:jc w:val="both"/>
            </w:pPr>
            <w:r>
              <w:rPr>
                <w:rFonts w:ascii="Times New Roman" w:hAnsi="Times New Roman" w:cs="Times New Roman"/>
                <w:sz w:val="16"/>
                <w:szCs w:val="16"/>
                <w:lang w:val="es-PE"/>
              </w:rPr>
              <w:t>14.3</w:t>
            </w:r>
          </w:p>
        </w:tc>
        <w:tc>
          <w:tcPr>
            <w:tcW w:w="1063" w:type="dxa"/>
          </w:tcPr>
          <w:p w14:paraId="2C162B31" w14:textId="77777777" w:rsidR="00000000" w:rsidRDefault="00000000">
            <w:pPr>
              <w:snapToGrid w:val="0"/>
              <w:spacing w:before="36" w:after="36"/>
              <w:jc w:val="both"/>
            </w:pPr>
            <w:r>
              <w:rPr>
                <w:rFonts w:ascii="Times New Roman" w:hAnsi="Times New Roman" w:cs="Times New Roman"/>
                <w:sz w:val="16"/>
                <w:szCs w:val="16"/>
                <w:lang w:val="es-PE"/>
              </w:rPr>
              <w:t>0.278</w:t>
            </w:r>
          </w:p>
        </w:tc>
        <w:tc>
          <w:tcPr>
            <w:tcW w:w="1009" w:type="dxa"/>
          </w:tcPr>
          <w:p w14:paraId="6983C925" w14:textId="77777777" w:rsidR="00000000" w:rsidRDefault="00000000">
            <w:pPr>
              <w:snapToGrid w:val="0"/>
              <w:spacing w:before="36" w:after="36"/>
              <w:jc w:val="both"/>
            </w:pPr>
            <w:r>
              <w:rPr>
                <w:rFonts w:ascii="Times New Roman" w:hAnsi="Times New Roman" w:cs="Times New Roman"/>
                <w:sz w:val="16"/>
                <w:szCs w:val="16"/>
                <w:lang w:val="es-PE"/>
              </w:rPr>
              <w:t>Strict</w:t>
            </w:r>
          </w:p>
        </w:tc>
      </w:tr>
      <w:tr w:rsidR="00000000" w14:paraId="19652474" w14:textId="77777777">
        <w:tc>
          <w:tcPr>
            <w:tcW w:w="942" w:type="dxa"/>
          </w:tcPr>
          <w:p w14:paraId="4A371493" w14:textId="77777777" w:rsidR="00000000" w:rsidRDefault="00000000">
            <w:pPr>
              <w:snapToGrid w:val="0"/>
              <w:spacing w:before="36" w:after="36"/>
              <w:jc w:val="both"/>
            </w:pPr>
            <w:r>
              <w:rPr>
                <w:rFonts w:ascii="Times New Roman" w:hAnsi="Times New Roman" w:cs="Times New Roman"/>
                <w:b/>
                <w:bCs/>
                <w:sz w:val="16"/>
                <w:szCs w:val="16"/>
                <w:lang w:val="es-PE"/>
              </w:rPr>
              <w:t>P85/P15</w:t>
            </w:r>
          </w:p>
        </w:tc>
        <w:tc>
          <w:tcPr>
            <w:tcW w:w="831" w:type="dxa"/>
          </w:tcPr>
          <w:p w14:paraId="3E1D1A9A" w14:textId="77777777" w:rsidR="00000000" w:rsidRDefault="00000000">
            <w:pPr>
              <w:snapToGrid w:val="0"/>
              <w:spacing w:before="36" w:after="36"/>
              <w:jc w:val="both"/>
            </w:pPr>
            <w:r>
              <w:rPr>
                <w:rFonts w:ascii="Times New Roman" w:hAnsi="Times New Roman" w:cs="Times New Roman"/>
                <w:sz w:val="16"/>
                <w:szCs w:val="16"/>
                <w:lang w:val="es-PE"/>
              </w:rPr>
              <w:t>5.3</w:t>
            </w:r>
          </w:p>
        </w:tc>
        <w:tc>
          <w:tcPr>
            <w:tcW w:w="732" w:type="dxa"/>
          </w:tcPr>
          <w:p w14:paraId="7D925F8E" w14:textId="77777777" w:rsidR="00000000" w:rsidRDefault="00000000">
            <w:pPr>
              <w:snapToGrid w:val="0"/>
              <w:spacing w:before="36" w:after="36"/>
              <w:jc w:val="both"/>
            </w:pPr>
            <w:r>
              <w:rPr>
                <w:rFonts w:ascii="Times New Roman" w:hAnsi="Times New Roman" w:cs="Times New Roman"/>
                <w:sz w:val="16"/>
                <w:szCs w:val="16"/>
                <w:lang w:val="es-PE"/>
              </w:rPr>
              <w:t>5.0</w:t>
            </w:r>
          </w:p>
        </w:tc>
        <w:tc>
          <w:tcPr>
            <w:tcW w:w="679" w:type="dxa"/>
          </w:tcPr>
          <w:p w14:paraId="7368D414" w14:textId="77777777" w:rsidR="00000000" w:rsidRDefault="00000000">
            <w:pPr>
              <w:snapToGrid w:val="0"/>
              <w:spacing w:before="36" w:after="36"/>
              <w:jc w:val="both"/>
            </w:pPr>
            <w:r>
              <w:rPr>
                <w:rFonts w:ascii="Times New Roman" w:hAnsi="Times New Roman" w:cs="Times New Roman"/>
                <w:sz w:val="16"/>
                <w:szCs w:val="16"/>
                <w:lang w:val="es-PE"/>
              </w:rPr>
              <w:t>9.3</w:t>
            </w:r>
          </w:p>
        </w:tc>
        <w:tc>
          <w:tcPr>
            <w:tcW w:w="1063" w:type="dxa"/>
          </w:tcPr>
          <w:p w14:paraId="179CE919" w14:textId="77777777" w:rsidR="00000000" w:rsidRDefault="00000000">
            <w:pPr>
              <w:snapToGrid w:val="0"/>
              <w:spacing w:before="36" w:after="36"/>
              <w:jc w:val="both"/>
            </w:pPr>
            <w:r>
              <w:rPr>
                <w:rFonts w:ascii="Times New Roman" w:hAnsi="Times New Roman" w:cs="Times New Roman"/>
                <w:sz w:val="16"/>
                <w:szCs w:val="16"/>
                <w:lang w:val="es-PE"/>
              </w:rPr>
              <w:t>0.379 (max.)</w:t>
            </w:r>
          </w:p>
        </w:tc>
        <w:tc>
          <w:tcPr>
            <w:tcW w:w="1009" w:type="dxa"/>
          </w:tcPr>
          <w:p w14:paraId="79A711DC" w14:textId="77777777" w:rsidR="00000000" w:rsidRDefault="00000000">
            <w:pPr>
              <w:snapToGrid w:val="0"/>
              <w:spacing w:before="36" w:after="36"/>
              <w:jc w:val="both"/>
            </w:pPr>
            <w:r>
              <w:rPr>
                <w:rFonts w:ascii="Times New Roman" w:hAnsi="Times New Roman" w:cs="Times New Roman"/>
                <w:sz w:val="16"/>
                <w:szCs w:val="16"/>
                <w:lang w:val="es-PE"/>
              </w:rPr>
              <w:t>Very strict</w:t>
            </w:r>
          </w:p>
        </w:tc>
      </w:tr>
    </w:tbl>
    <w:p w14:paraId="58342F9C" w14:textId="77777777" w:rsidR="00000000" w:rsidRDefault="00000000">
      <w:pPr>
        <w:pStyle w:val="Notetable"/>
        <w:rPr>
          <w:rFonts w:ascii="Times New Roman" w:hAnsi="Times New Roman"/>
        </w:rPr>
      </w:pPr>
      <w:r>
        <w:t>Note: Train % = prevalence in the training set; Test % = prevalence in the 2025 test set; Ext % = prevalence in the 2026 external dataset; CV = interannual coefficient of variation (2019–2026); Role = operational interpretation of the scenario.</w:t>
      </w:r>
    </w:p>
    <w:p w14:paraId="651359B9" w14:textId="77777777" w:rsidR="00000000" w:rsidRDefault="00000000">
      <w:pPr>
        <w:snapToGrid w:val="0"/>
        <w:ind w:firstLine="360"/>
        <w:jc w:val="both"/>
      </w:pPr>
      <w:r>
        <w:rPr>
          <w:rFonts w:ascii="Times New Roman" w:hAnsi="Times New Roman" w:cs="Times New Roman"/>
          <w:lang w:val="en-US"/>
        </w:rPr>
        <w:t>The prevalence of Class 1 in the training set ranges from 5.3% (P85/P15) to 19.4% (P70/P30), while the temporal stability of the event rate—measured as the coefficient of variation (CV) between 2019 and 2026—increases monotonically with threshold severity (CV = 0.165 for P70/P30 up to 0.379 for P85/P15). The baseline scenario (P75/P25, CV = 0.219, training prevalence = 14.0%) is not the most stable among the four scenarios—P70/P30 is—but it was retained because it provides the best balance between institutional severity and sufficient class balance for model training without resorting to synthetic resampling, compared with the greater rarity and interannual variability of the P80/P20 and P85/P15 scenarios.</w:t>
      </w:r>
    </w:p>
    <w:p w14:paraId="3265F72F" w14:textId="77777777" w:rsidR="00000000" w:rsidRDefault="00000000">
      <w:pPr>
        <w:pStyle w:val="Ttulo3"/>
        <w:ind w:firstLine="0"/>
        <w:rPr>
          <w:rFonts w:ascii="Times New Roman" w:hAnsi="Times New Roman" w:cs="Times New Roman"/>
        </w:rPr>
      </w:pPr>
      <w:r>
        <w:t>4) Feature Engineering</w:t>
      </w:r>
    </w:p>
    <w:p w14:paraId="0CC88BE9" w14:textId="77777777" w:rsidR="00000000" w:rsidRDefault="00000000">
      <w:pPr>
        <w:snapToGrid w:val="0"/>
        <w:ind w:firstLine="360"/>
        <w:jc w:val="both"/>
      </w:pPr>
      <w:r>
        <w:rPr>
          <w:rFonts w:ascii="Times New Roman" w:hAnsi="Times New Roman" w:cs="Times New Roman"/>
          <w:lang w:val="en-US"/>
        </w:rPr>
        <w:t>The 14 derived variables were designed according to four criteria: operational pressure indicators (imbalance between case inflows and processed cases), pandemic-related temporal descriptors (</w:t>
      </w:r>
      <w:r>
        <w:rPr>
          <w:rFonts w:ascii="Times New Roman" w:hAnsi="Times New Roman" w:cs="Times New Roman"/>
          <w:i/>
          <w:iCs/>
          <w:lang w:val="en-US"/>
        </w:rPr>
        <w:t>post_pandemia</w:t>
      </w:r>
      <w:r>
        <w:rPr>
          <w:rFonts w:ascii="Times New Roman" w:hAnsi="Times New Roman" w:cs="Times New Roman"/>
          <w:lang w:val="en-US"/>
        </w:rPr>
        <w:t xml:space="preserve">, </w:t>
      </w:r>
      <w:r>
        <w:rPr>
          <w:rFonts w:ascii="Times New Roman" w:hAnsi="Times New Roman" w:cs="Times New Roman"/>
          <w:i/>
          <w:iCs/>
          <w:lang w:val="en-US"/>
        </w:rPr>
        <w:t>periodo_pandemia_2020</w:t>
      </w:r>
      <w:r>
        <w:rPr>
          <w:rFonts w:ascii="Times New Roman" w:hAnsi="Times New Roman" w:cs="Times New Roman"/>
          <w:lang w:val="en-US"/>
        </w:rPr>
        <w:t>), second-order categorical interactions that capture nonlinear institutional synergies, and lagged historical variables by prosecutorial district that incorporate previous moving averages and growth rates without introducing predictive anachronisms.</w:t>
      </w:r>
    </w:p>
    <w:p w14:paraId="04AC2837" w14:textId="77777777" w:rsidR="00000000" w:rsidRDefault="00000000">
      <w:pPr>
        <w:pStyle w:val="Ttulo3"/>
        <w:ind w:firstLine="0"/>
        <w:rPr>
          <w:rFonts w:ascii="Times New Roman" w:hAnsi="Times New Roman" w:cs="Times New Roman"/>
        </w:rPr>
      </w:pPr>
      <w:r>
        <w:t>5) Data Leakage Control</w:t>
      </w:r>
    </w:p>
    <w:p w14:paraId="5B8F6CCB" w14:textId="77777777" w:rsidR="00000000" w:rsidRDefault="00000000">
      <w:pPr>
        <w:snapToGrid w:val="0"/>
        <w:ind w:firstLine="360"/>
        <w:jc w:val="both"/>
      </w:pPr>
      <w:r>
        <w:rPr>
          <w:rFonts w:ascii="Times New Roman" w:hAnsi="Times New Roman" w:cs="Times New Roman"/>
          <w:lang w:val="en-US"/>
        </w:rPr>
        <w:t>Because the target variable (</w:t>
      </w:r>
      <w:r>
        <w:rPr>
          <w:rFonts w:ascii="Times New Roman" w:hAnsi="Times New Roman" w:cs="Times New Roman"/>
          <w:i/>
          <w:iCs/>
          <w:lang w:val="en-US"/>
        </w:rPr>
        <w:t>riesgo_congestion</w:t>
      </w:r>
      <w:r>
        <w:rPr>
          <w:rFonts w:ascii="Times New Roman" w:hAnsi="Times New Roman" w:cs="Times New Roman"/>
          <w:lang w:val="en-US"/>
        </w:rPr>
        <w:t xml:space="preserve">) is constructed directly from </w:t>
      </w:r>
      <w:r>
        <w:rPr>
          <w:rFonts w:ascii="Times New Roman" w:hAnsi="Times New Roman" w:cs="Times New Roman"/>
          <w:i/>
          <w:iCs/>
          <w:lang w:val="en-US"/>
        </w:rPr>
        <w:t>ingresado</w:t>
      </w:r>
      <w:r>
        <w:rPr>
          <w:rFonts w:ascii="Times New Roman" w:hAnsi="Times New Roman" w:cs="Times New Roman"/>
          <w:lang w:val="en-US"/>
        </w:rPr>
        <w:t xml:space="preserve"> and </w:t>
      </w:r>
      <w:r>
        <w:rPr>
          <w:rFonts w:ascii="Times New Roman" w:hAnsi="Times New Roman" w:cs="Times New Roman"/>
          <w:i/>
          <w:iCs/>
          <w:lang w:val="en-US"/>
        </w:rPr>
        <w:t>atendido</w:t>
      </w:r>
      <w:r>
        <w:rPr>
          <w:rFonts w:ascii="Times New Roman" w:hAnsi="Times New Roman" w:cs="Times New Roman"/>
          <w:lang w:val="en-US"/>
        </w:rPr>
        <w:t>, these attributes—</w:t>
      </w:r>
      <w:r>
        <w:rPr>
          <w:rFonts w:ascii="Times New Roman" w:hAnsi="Times New Roman" w:cs="Times New Roman"/>
          <w:i/>
          <w:iCs/>
          <w:lang w:val="en-US"/>
        </w:rPr>
        <w:t>ingresado</w:t>
      </w:r>
      <w:r>
        <w:rPr>
          <w:rFonts w:ascii="Times New Roman" w:hAnsi="Times New Roman" w:cs="Times New Roman"/>
          <w:lang w:val="en-US"/>
        </w:rPr>
        <w:t xml:space="preserve">, </w:t>
      </w:r>
      <w:r>
        <w:rPr>
          <w:rFonts w:ascii="Times New Roman" w:hAnsi="Times New Roman" w:cs="Times New Roman"/>
          <w:i/>
          <w:iCs/>
          <w:lang w:val="en-US"/>
        </w:rPr>
        <w:t>atendido</w:t>
      </w:r>
      <w:r>
        <w:rPr>
          <w:rFonts w:ascii="Times New Roman" w:hAnsi="Times New Roman" w:cs="Times New Roman"/>
          <w:lang w:val="en-US"/>
        </w:rPr>
        <w:t xml:space="preserve">, and their derived variables </w:t>
      </w:r>
      <w:r>
        <w:rPr>
          <w:rFonts w:ascii="Times New Roman" w:hAnsi="Times New Roman" w:cs="Times New Roman"/>
          <w:i/>
          <w:iCs/>
          <w:sz w:val="18"/>
          <w:szCs w:val="18"/>
          <w:lang w:val="en-US"/>
        </w:rPr>
        <w:t>saldo_casos</w:t>
      </w:r>
      <w:r>
        <w:rPr>
          <w:rFonts w:ascii="Times New Roman" w:hAnsi="Times New Roman" w:cs="Times New Roman"/>
          <w:sz w:val="18"/>
          <w:szCs w:val="18"/>
          <w:lang w:val="en-US"/>
        </w:rPr>
        <w:t xml:space="preserve">, </w:t>
      </w:r>
      <w:r>
        <w:rPr>
          <w:rFonts w:ascii="Times New Roman" w:hAnsi="Times New Roman" w:cs="Times New Roman"/>
          <w:i/>
          <w:iCs/>
          <w:sz w:val="18"/>
          <w:szCs w:val="18"/>
          <w:lang w:val="en-US"/>
        </w:rPr>
        <w:t>tasa_atencion</w:t>
      </w:r>
      <w:r>
        <w:rPr>
          <w:rFonts w:ascii="Times New Roman" w:hAnsi="Times New Roman" w:cs="Times New Roman"/>
          <w:sz w:val="18"/>
          <w:szCs w:val="18"/>
          <w:lang w:val="en-US"/>
        </w:rPr>
        <w:t xml:space="preserve">, and </w:t>
      </w:r>
      <w:r>
        <w:rPr>
          <w:rFonts w:ascii="Times New Roman" w:hAnsi="Times New Roman" w:cs="Times New Roman"/>
          <w:i/>
          <w:iCs/>
          <w:sz w:val="18"/>
          <w:szCs w:val="18"/>
          <w:lang w:val="en-US"/>
        </w:rPr>
        <w:t>ratio_saldo</w:t>
      </w:r>
      <w:r>
        <w:rPr>
          <w:rFonts w:ascii="Times New Roman" w:hAnsi="Times New Roman" w:cs="Times New Roman"/>
          <w:sz w:val="18"/>
          <w:szCs w:val="18"/>
          <w:lang w:val="en-US"/>
        </w:rPr>
        <w:t xml:space="preserve"> </w:t>
      </w:r>
      <w:r>
        <w:rPr>
          <w:rFonts w:ascii="Times New Roman" w:hAnsi="Times New Roman" w:cs="Times New Roman"/>
          <w:lang w:val="en-US"/>
        </w:rPr>
        <w:t>(</w:t>
      </w:r>
      <w:r>
        <w:rPr>
          <w:rFonts w:ascii="Times New Roman" w:hAnsi="Times New Roman" w:cs="Times New Roman"/>
          <w:i/>
          <w:iCs/>
          <w:sz w:val="14"/>
          <w:szCs w:val="14"/>
          <w:lang w:val="en-US"/>
        </w:rPr>
        <w:t>LEAKAGE_COLS</w:t>
      </w:r>
      <w:r>
        <w:rPr>
          <w:rFonts w:ascii="Times New Roman" w:hAnsi="Times New Roman" w:cs="Times New Roman"/>
          <w:lang w:val="en-US"/>
        </w:rPr>
        <w:t xml:space="preserve">)—were isolated through a strict exclusion list, together with non-predictive metadata and the columns corresponding to the four alternative proxy scenarios. Additionally, </w:t>
      </w:r>
      <w:r>
        <w:rPr>
          <w:rFonts w:ascii="Times New Roman" w:hAnsi="Times New Roman" w:cs="Times New Roman"/>
          <w:i/>
          <w:iCs/>
          <w:lang w:val="en-US"/>
        </w:rPr>
        <w:t>anio_centrado</w:t>
      </w:r>
      <w:r>
        <w:rPr>
          <w:rFonts w:ascii="Times New Roman" w:hAnsi="Times New Roman" w:cs="Times New Roman"/>
          <w:lang w:val="en-US"/>
        </w:rPr>
        <w:t xml:space="preserve"> was excluded from the candidate feature matrix because of its direct collinearity with the calendar year (</w:t>
      </w:r>
      <w:r>
        <w:rPr>
          <w:rFonts w:ascii="Times New Roman" w:hAnsi="Times New Roman" w:cs="Times New Roman"/>
          <w:i/>
          <w:iCs/>
          <w:sz w:val="14"/>
          <w:szCs w:val="14"/>
          <w:lang w:val="en-US"/>
        </w:rPr>
        <w:t>COLLINEAR_EXCLUDE</w:t>
      </w:r>
      <w:r>
        <w:rPr>
          <w:rFonts w:ascii="Times New Roman" w:hAnsi="Times New Roman" w:cs="Times New Roman"/>
          <w:lang w:val="en-US"/>
        </w:rPr>
        <w:t>).</w:t>
      </w:r>
    </w:p>
    <w:p w14:paraId="284D8509" w14:textId="77777777" w:rsidR="00000000" w:rsidRDefault="00000000">
      <w:pPr>
        <w:pStyle w:val="Ttulo3"/>
        <w:ind w:firstLine="0"/>
        <w:rPr>
          <w:rFonts w:ascii="Times New Roman" w:hAnsi="Times New Roman" w:cs="Times New Roman"/>
        </w:rPr>
      </w:pPr>
      <w:r>
        <w:t>6) Feature Selection</w:t>
      </w:r>
    </w:p>
    <w:p w14:paraId="40F56337" w14:textId="77777777" w:rsidR="00000000" w:rsidRDefault="00000000">
      <w:pPr>
        <w:widowControl w:val="0"/>
        <w:snapToGrid w:val="0"/>
        <w:ind w:firstLine="357"/>
        <w:jc w:val="both"/>
        <w:rPr>
          <w:rFonts w:ascii="Times New Roman" w:hAnsi="Times New Roman" w:cs="Times New Roman"/>
          <w:lang w:val="en-US"/>
        </w:rPr>
      </w:pPr>
      <w:r>
        <w:rPr>
          <w:rFonts w:ascii="Times New Roman" w:hAnsi="Times New Roman" w:cs="Times New Roman"/>
          <w:lang w:val="en-US"/>
        </w:rPr>
        <w:t>A potential multicollinearity analysis was performed using the Pearson correlation coefficient (r &gt; 0.90) for numerical variables and Cramér's V (&gt; 0.80) for categorical variables (Figures 2–3).</w:t>
      </w:r>
    </w:p>
    <w:p w14:paraId="20EC109F" w14:textId="77777777" w:rsidR="00000000" w:rsidRDefault="00000000">
      <w:pPr>
        <w:snapToGrid w:val="0"/>
        <w:ind w:firstLine="360"/>
        <w:jc w:val="both"/>
        <w:rPr>
          <w:rFonts w:ascii="Times New Roman" w:hAnsi="Times New Roman" w:cs="Times New Roman"/>
          <w:lang w:val="en-US"/>
        </w:rPr>
      </w:pPr>
    </w:p>
    <w:p w14:paraId="1B465CDC" w14:textId="77777777" w:rsidR="00000000" w:rsidRDefault="00000000">
      <w:pPr>
        <w:snapToGrid w:val="0"/>
        <w:ind w:firstLine="1020"/>
        <w:jc w:val="both"/>
        <w:rPr>
          <w:b/>
          <w:bCs/>
        </w:rPr>
      </w:pPr>
      <w:r>
        <w:lastRenderedPageBreak/>
        <w:pict w14:anchorId="58E8E840">
          <v:shape id="_x0000_i1029" type="#_x0000_t75" style="width:156pt;height:123.6pt" filled="t">
            <v:fill opacity="0" color2="black"/>
            <v:imagedata r:id="rId16" o:title="" croptop="-10f" cropbottom="-10f" cropleft="7809f" cropright="-7f"/>
          </v:shape>
        </w:pict>
      </w:r>
    </w:p>
    <w:p w14:paraId="75652721" w14:textId="77777777" w:rsidR="00000000" w:rsidRDefault="00000000">
      <w:pPr>
        <w:pStyle w:val="FigureCaption"/>
      </w:pPr>
      <w:r>
        <w:rPr>
          <w:b/>
          <w:bCs/>
        </w:rPr>
        <w:t>Figure 2.</w:t>
      </w:r>
      <w:r>
        <w:t xml:space="preserve"> Pearson correlation among numerical variables.</w:t>
      </w:r>
    </w:p>
    <w:p w14:paraId="449B1A91" w14:textId="77777777" w:rsidR="00000000" w:rsidRDefault="00000000">
      <w:pPr>
        <w:snapToGrid w:val="0"/>
        <w:ind w:firstLine="1077"/>
        <w:jc w:val="both"/>
        <w:rPr>
          <w:b/>
          <w:bCs/>
        </w:rPr>
      </w:pPr>
      <w:r>
        <w:pict w14:anchorId="7A22B44A">
          <v:shape id="_x0000_i1030" type="#_x0000_t75" style="width:154.8pt;height:116.4pt" filled="t">
            <v:fill opacity="0" color2="black"/>
            <v:imagedata r:id="rId17" o:title="" croptop="-10f" cropbottom="-10f" cropleft="8024f" cropright="-7f"/>
          </v:shape>
        </w:pict>
      </w:r>
    </w:p>
    <w:p w14:paraId="0D571701" w14:textId="77777777" w:rsidR="00000000" w:rsidRDefault="00000000">
      <w:pPr>
        <w:pStyle w:val="FigureCaption"/>
      </w:pPr>
      <w:r>
        <w:rPr>
          <w:b/>
          <w:bCs/>
        </w:rPr>
        <w:t>Figure 3.</w:t>
      </w:r>
      <w:r>
        <w:t xml:space="preserve"> Cramér's V correlation among categorical variables.</w:t>
      </w:r>
    </w:p>
    <w:p w14:paraId="611A2B2C" w14:textId="77777777" w:rsidR="00000000" w:rsidRDefault="00000000">
      <w:pPr>
        <w:snapToGrid w:val="0"/>
        <w:ind w:firstLine="360"/>
        <w:jc w:val="both"/>
        <w:rPr>
          <w:b/>
          <w:bCs/>
        </w:rPr>
      </w:pPr>
      <w:r>
        <w:rPr>
          <w:rFonts w:ascii="Times New Roman" w:hAnsi="Times New Roman" w:cs="Times New Roman"/>
          <w:lang w:val="en-US"/>
        </w:rPr>
        <w:t>Subsequently, six complementary feature selection methods—two continuous filter methods, one categorical filter method, one embedded method, and two wrapper methods (Table V)—were implemented, each operating under the same year-block temporal cross-validation scheme.</w:t>
      </w:r>
    </w:p>
    <w:p w14:paraId="43F71E76" w14:textId="77777777" w:rsidR="00000000" w:rsidRDefault="00000000">
      <w:pPr>
        <w:pStyle w:val="TableCaption"/>
        <w:rPr>
          <w:b/>
          <w:bCs/>
          <w:lang w:val="es-PE"/>
        </w:rPr>
      </w:pPr>
      <w:r>
        <w:rPr>
          <w:b/>
          <w:bCs/>
        </w:rPr>
        <w:t xml:space="preserve">TABLE V. </w:t>
      </w:r>
      <w:r>
        <w:t>FEATURE SELECTION METHODS EVALUATED</w:t>
      </w:r>
    </w:p>
    <w:tbl>
      <w:tblPr>
        <w:tblW w:w="0" w:type="auto"/>
        <w:jc w:val="center"/>
        <w:tblLayout w:type="fixed"/>
        <w:tblLook w:val="0000" w:firstRow="0" w:lastRow="0" w:firstColumn="0" w:lastColumn="0" w:noHBand="0" w:noVBand="0"/>
      </w:tblPr>
      <w:tblGrid>
        <w:gridCol w:w="1509"/>
        <w:gridCol w:w="2646"/>
        <w:gridCol w:w="808"/>
      </w:tblGrid>
      <w:tr w:rsidR="00000000" w14:paraId="0709ECFE" w14:textId="77777777">
        <w:trPr>
          <w:tblHeader/>
          <w:jc w:val="center"/>
        </w:trPr>
        <w:tc>
          <w:tcPr>
            <w:tcW w:w="1509" w:type="dxa"/>
            <w:tcBorders>
              <w:bottom w:val="single" w:sz="4" w:space="0" w:color="000000"/>
            </w:tcBorders>
            <w:vAlign w:val="center"/>
          </w:tcPr>
          <w:p w14:paraId="7A5868C9" w14:textId="77777777" w:rsidR="00000000" w:rsidRDefault="00000000">
            <w:pPr>
              <w:snapToGrid w:val="0"/>
              <w:spacing w:before="36" w:after="36"/>
            </w:pPr>
            <w:r>
              <w:rPr>
                <w:rFonts w:ascii="Times New Roman" w:hAnsi="Times New Roman" w:cs="Times New Roman"/>
                <w:b/>
                <w:bCs/>
                <w:sz w:val="16"/>
                <w:szCs w:val="16"/>
                <w:lang w:val="es-PE"/>
              </w:rPr>
              <w:t>Method</w:t>
            </w:r>
          </w:p>
        </w:tc>
        <w:tc>
          <w:tcPr>
            <w:tcW w:w="2646" w:type="dxa"/>
            <w:tcBorders>
              <w:bottom w:val="single" w:sz="4" w:space="0" w:color="000000"/>
            </w:tcBorders>
            <w:vAlign w:val="center"/>
          </w:tcPr>
          <w:p w14:paraId="2CB8D1A5" w14:textId="77777777" w:rsidR="00000000" w:rsidRDefault="00000000">
            <w:pPr>
              <w:snapToGrid w:val="0"/>
              <w:spacing w:before="36" w:after="36"/>
            </w:pPr>
            <w:r>
              <w:rPr>
                <w:rFonts w:ascii="Times New Roman" w:hAnsi="Times New Roman" w:cs="Times New Roman"/>
                <w:b/>
                <w:bCs/>
                <w:sz w:val="16"/>
                <w:szCs w:val="16"/>
                <w:lang w:val="es-PE"/>
              </w:rPr>
              <w:t>Type</w:t>
            </w:r>
          </w:p>
        </w:tc>
        <w:tc>
          <w:tcPr>
            <w:tcW w:w="808" w:type="dxa"/>
            <w:tcBorders>
              <w:bottom w:val="single" w:sz="4" w:space="0" w:color="000000"/>
            </w:tcBorders>
            <w:vAlign w:val="center"/>
          </w:tcPr>
          <w:p w14:paraId="494F6CB3" w14:textId="77777777" w:rsidR="00000000" w:rsidRDefault="00000000">
            <w:pPr>
              <w:snapToGrid w:val="0"/>
              <w:spacing w:before="36" w:after="36"/>
            </w:pPr>
            <w:r>
              <w:rPr>
                <w:rFonts w:ascii="Times New Roman" w:hAnsi="Times New Roman" w:cs="Times New Roman"/>
                <w:b/>
                <w:bCs/>
                <w:sz w:val="16"/>
                <w:szCs w:val="16"/>
                <w:lang w:val="en-US"/>
              </w:rPr>
              <w:t>No. vars</w:t>
            </w:r>
          </w:p>
        </w:tc>
      </w:tr>
      <w:tr w:rsidR="00000000" w14:paraId="236B0350" w14:textId="77777777">
        <w:trPr>
          <w:jc w:val="center"/>
        </w:trPr>
        <w:tc>
          <w:tcPr>
            <w:tcW w:w="1509" w:type="dxa"/>
            <w:vAlign w:val="center"/>
          </w:tcPr>
          <w:p w14:paraId="22D57736" w14:textId="77777777" w:rsidR="00000000" w:rsidRDefault="00000000">
            <w:pPr>
              <w:snapToGrid w:val="0"/>
              <w:spacing w:before="26" w:after="26"/>
            </w:pPr>
            <w:r>
              <w:rPr>
                <w:rFonts w:ascii="Times New Roman" w:hAnsi="Times New Roman" w:cs="Times New Roman"/>
                <w:sz w:val="16"/>
                <w:szCs w:val="16"/>
                <w:lang w:val="es-PE"/>
              </w:rPr>
              <w:t>Mutual Information</w:t>
            </w:r>
          </w:p>
        </w:tc>
        <w:tc>
          <w:tcPr>
            <w:tcW w:w="2646" w:type="dxa"/>
            <w:vAlign w:val="center"/>
          </w:tcPr>
          <w:p w14:paraId="724B092A" w14:textId="77777777" w:rsidR="00000000" w:rsidRDefault="00000000">
            <w:pPr>
              <w:snapToGrid w:val="0"/>
              <w:spacing w:before="26" w:after="26"/>
            </w:pPr>
            <w:r>
              <w:rPr>
                <w:rFonts w:ascii="Times New Roman" w:hAnsi="Times New Roman" w:cs="Times New Roman"/>
                <w:sz w:val="16"/>
                <w:szCs w:val="16"/>
                <w:lang w:val="es-PE"/>
              </w:rPr>
              <w:t>Filter (Continuous)</w:t>
            </w:r>
          </w:p>
        </w:tc>
        <w:tc>
          <w:tcPr>
            <w:tcW w:w="808" w:type="dxa"/>
            <w:vAlign w:val="center"/>
          </w:tcPr>
          <w:p w14:paraId="43AB7317" w14:textId="77777777" w:rsidR="00000000" w:rsidRDefault="00000000">
            <w:pPr>
              <w:snapToGrid w:val="0"/>
              <w:spacing w:before="26" w:after="26"/>
            </w:pPr>
            <w:r>
              <w:rPr>
                <w:rFonts w:ascii="Times New Roman" w:hAnsi="Times New Roman" w:cs="Times New Roman"/>
                <w:sz w:val="16"/>
                <w:szCs w:val="16"/>
                <w:lang w:val="es-PE"/>
              </w:rPr>
              <w:t>40</w:t>
            </w:r>
          </w:p>
        </w:tc>
      </w:tr>
      <w:tr w:rsidR="00000000" w14:paraId="5185BE4A" w14:textId="77777777">
        <w:trPr>
          <w:jc w:val="center"/>
        </w:trPr>
        <w:tc>
          <w:tcPr>
            <w:tcW w:w="1509" w:type="dxa"/>
            <w:vAlign w:val="center"/>
          </w:tcPr>
          <w:p w14:paraId="5B6AD240" w14:textId="77777777" w:rsidR="00000000" w:rsidRDefault="00000000">
            <w:pPr>
              <w:snapToGrid w:val="0"/>
              <w:spacing w:before="26" w:after="26"/>
            </w:pPr>
            <w:r>
              <w:rPr>
                <w:rFonts w:ascii="Times New Roman" w:hAnsi="Times New Roman" w:cs="Times New Roman"/>
                <w:sz w:val="16"/>
                <w:szCs w:val="16"/>
                <w:lang w:val="es-PE"/>
              </w:rPr>
              <w:t>ANOVA F-test</w:t>
            </w:r>
          </w:p>
        </w:tc>
        <w:tc>
          <w:tcPr>
            <w:tcW w:w="2646" w:type="dxa"/>
            <w:vAlign w:val="center"/>
          </w:tcPr>
          <w:p w14:paraId="2C10D850" w14:textId="77777777" w:rsidR="00000000" w:rsidRDefault="00000000">
            <w:pPr>
              <w:snapToGrid w:val="0"/>
              <w:spacing w:before="26" w:after="26"/>
            </w:pPr>
            <w:r>
              <w:rPr>
                <w:rFonts w:ascii="Times New Roman" w:hAnsi="Times New Roman" w:cs="Times New Roman"/>
                <w:sz w:val="16"/>
                <w:szCs w:val="16"/>
                <w:lang w:val="es-PE"/>
              </w:rPr>
              <w:t>Filter (Continuous)</w:t>
            </w:r>
          </w:p>
        </w:tc>
        <w:tc>
          <w:tcPr>
            <w:tcW w:w="808" w:type="dxa"/>
            <w:vAlign w:val="center"/>
          </w:tcPr>
          <w:p w14:paraId="1D474098" w14:textId="77777777" w:rsidR="00000000" w:rsidRDefault="00000000">
            <w:pPr>
              <w:snapToGrid w:val="0"/>
              <w:spacing w:before="26" w:after="26"/>
            </w:pPr>
            <w:r>
              <w:rPr>
                <w:rFonts w:ascii="Times New Roman" w:hAnsi="Times New Roman" w:cs="Times New Roman"/>
                <w:sz w:val="16"/>
                <w:szCs w:val="16"/>
                <w:lang w:val="es-PE"/>
              </w:rPr>
              <w:t>40</w:t>
            </w:r>
          </w:p>
        </w:tc>
      </w:tr>
      <w:tr w:rsidR="00000000" w14:paraId="1A07B9BC" w14:textId="77777777">
        <w:trPr>
          <w:jc w:val="center"/>
        </w:trPr>
        <w:tc>
          <w:tcPr>
            <w:tcW w:w="1509" w:type="dxa"/>
            <w:vAlign w:val="center"/>
          </w:tcPr>
          <w:p w14:paraId="12E20A22" w14:textId="77777777" w:rsidR="00000000" w:rsidRDefault="00000000">
            <w:pPr>
              <w:snapToGrid w:val="0"/>
              <w:spacing w:before="26" w:after="26"/>
            </w:pPr>
            <w:r>
              <w:rPr>
                <w:rFonts w:ascii="Times New Roman" w:hAnsi="Times New Roman" w:cs="Times New Roman"/>
                <w:sz w:val="16"/>
                <w:szCs w:val="16"/>
                <w:lang w:val="es-PE"/>
              </w:rPr>
              <w:t>χ²</w:t>
            </w:r>
          </w:p>
        </w:tc>
        <w:tc>
          <w:tcPr>
            <w:tcW w:w="2646" w:type="dxa"/>
            <w:vAlign w:val="center"/>
          </w:tcPr>
          <w:p w14:paraId="04AB6763" w14:textId="77777777" w:rsidR="00000000" w:rsidRDefault="00000000">
            <w:pPr>
              <w:snapToGrid w:val="0"/>
              <w:spacing w:before="26" w:after="26"/>
            </w:pPr>
            <w:r>
              <w:rPr>
                <w:rFonts w:ascii="Times New Roman" w:hAnsi="Times New Roman" w:cs="Times New Roman"/>
                <w:sz w:val="16"/>
                <w:szCs w:val="16"/>
                <w:lang w:val="es-PE"/>
              </w:rPr>
              <w:t>Filter (Categorical)</w:t>
            </w:r>
          </w:p>
        </w:tc>
        <w:tc>
          <w:tcPr>
            <w:tcW w:w="808" w:type="dxa"/>
            <w:vAlign w:val="center"/>
          </w:tcPr>
          <w:p w14:paraId="3EA9FACF" w14:textId="77777777" w:rsidR="00000000" w:rsidRDefault="00000000">
            <w:pPr>
              <w:snapToGrid w:val="0"/>
              <w:spacing w:before="26" w:after="26"/>
            </w:pPr>
            <w:r>
              <w:rPr>
                <w:rFonts w:ascii="Times New Roman" w:hAnsi="Times New Roman" w:cs="Times New Roman"/>
                <w:sz w:val="16"/>
                <w:szCs w:val="16"/>
                <w:lang w:val="es-PE"/>
              </w:rPr>
              <w:t>40</w:t>
            </w:r>
          </w:p>
        </w:tc>
      </w:tr>
      <w:tr w:rsidR="00000000" w14:paraId="0FF874AB" w14:textId="77777777">
        <w:trPr>
          <w:jc w:val="center"/>
        </w:trPr>
        <w:tc>
          <w:tcPr>
            <w:tcW w:w="1509" w:type="dxa"/>
            <w:vAlign w:val="center"/>
          </w:tcPr>
          <w:p w14:paraId="356D0F4E" w14:textId="77777777" w:rsidR="00000000" w:rsidRDefault="00000000">
            <w:pPr>
              <w:snapToGrid w:val="0"/>
              <w:spacing w:before="26" w:after="26"/>
            </w:pPr>
            <w:r>
              <w:rPr>
                <w:rFonts w:ascii="Times New Roman" w:hAnsi="Times New Roman" w:cs="Times New Roman"/>
                <w:sz w:val="16"/>
                <w:szCs w:val="16"/>
                <w:lang w:val="es-PE"/>
              </w:rPr>
              <w:t>Random Forest</w:t>
            </w:r>
          </w:p>
        </w:tc>
        <w:tc>
          <w:tcPr>
            <w:tcW w:w="2646" w:type="dxa"/>
            <w:vAlign w:val="center"/>
          </w:tcPr>
          <w:p w14:paraId="33F0EB0B" w14:textId="77777777" w:rsidR="00000000" w:rsidRDefault="00000000">
            <w:pPr>
              <w:snapToGrid w:val="0"/>
              <w:spacing w:before="26" w:after="26"/>
            </w:pPr>
            <w:r>
              <w:rPr>
                <w:rFonts w:ascii="Times New Roman" w:hAnsi="Times New Roman" w:cs="Times New Roman"/>
                <w:sz w:val="16"/>
                <w:szCs w:val="16"/>
                <w:lang w:val="es-PE"/>
              </w:rPr>
              <w:t>Embedded</w:t>
            </w:r>
          </w:p>
        </w:tc>
        <w:tc>
          <w:tcPr>
            <w:tcW w:w="808" w:type="dxa"/>
            <w:vAlign w:val="center"/>
          </w:tcPr>
          <w:p w14:paraId="3C75D851" w14:textId="77777777" w:rsidR="00000000" w:rsidRDefault="00000000">
            <w:pPr>
              <w:snapToGrid w:val="0"/>
              <w:spacing w:before="26" w:after="26"/>
            </w:pPr>
            <w:r>
              <w:rPr>
                <w:rFonts w:ascii="Times New Roman" w:hAnsi="Times New Roman" w:cs="Times New Roman"/>
                <w:sz w:val="16"/>
                <w:szCs w:val="16"/>
                <w:lang w:val="es-PE"/>
              </w:rPr>
              <w:t>40</w:t>
            </w:r>
          </w:p>
        </w:tc>
      </w:tr>
      <w:tr w:rsidR="00000000" w14:paraId="16D3AC44" w14:textId="77777777">
        <w:trPr>
          <w:jc w:val="center"/>
        </w:trPr>
        <w:tc>
          <w:tcPr>
            <w:tcW w:w="1509" w:type="dxa"/>
            <w:vAlign w:val="center"/>
          </w:tcPr>
          <w:p w14:paraId="49A08469" w14:textId="77777777" w:rsidR="00000000" w:rsidRDefault="00000000">
            <w:pPr>
              <w:snapToGrid w:val="0"/>
              <w:spacing w:before="26" w:after="26"/>
            </w:pPr>
            <w:r>
              <w:rPr>
                <w:rFonts w:ascii="Times New Roman" w:hAnsi="Times New Roman" w:cs="Times New Roman"/>
                <w:sz w:val="16"/>
                <w:szCs w:val="16"/>
                <w:lang w:val="es-PE"/>
              </w:rPr>
              <w:t>Boruta</w:t>
            </w:r>
          </w:p>
        </w:tc>
        <w:tc>
          <w:tcPr>
            <w:tcW w:w="2646" w:type="dxa"/>
            <w:vAlign w:val="center"/>
          </w:tcPr>
          <w:p w14:paraId="2E048424" w14:textId="77777777" w:rsidR="00000000" w:rsidRDefault="00000000">
            <w:pPr>
              <w:snapToGrid w:val="0"/>
              <w:spacing w:before="26" w:after="26"/>
            </w:pPr>
            <w:r>
              <w:rPr>
                <w:rFonts w:ascii="Times New Roman" w:hAnsi="Times New Roman" w:cs="Times New Roman"/>
                <w:sz w:val="16"/>
                <w:szCs w:val="16"/>
                <w:lang w:val="es-PE"/>
              </w:rPr>
              <w:t>Wrapper (All-Relevant)</w:t>
            </w:r>
          </w:p>
        </w:tc>
        <w:tc>
          <w:tcPr>
            <w:tcW w:w="808" w:type="dxa"/>
            <w:vAlign w:val="center"/>
          </w:tcPr>
          <w:p w14:paraId="7E4E244D" w14:textId="77777777" w:rsidR="00000000" w:rsidRDefault="00000000">
            <w:pPr>
              <w:snapToGrid w:val="0"/>
              <w:spacing w:before="26" w:after="26"/>
            </w:pPr>
            <w:r>
              <w:rPr>
                <w:rFonts w:ascii="Times New Roman" w:hAnsi="Times New Roman" w:cs="Times New Roman"/>
                <w:sz w:val="16"/>
                <w:szCs w:val="16"/>
                <w:lang w:val="es-PE"/>
              </w:rPr>
              <w:t>12</w:t>
            </w:r>
          </w:p>
        </w:tc>
      </w:tr>
      <w:tr w:rsidR="00000000" w14:paraId="5D470602" w14:textId="77777777">
        <w:trPr>
          <w:jc w:val="center"/>
        </w:trPr>
        <w:tc>
          <w:tcPr>
            <w:tcW w:w="1509" w:type="dxa"/>
            <w:vAlign w:val="center"/>
          </w:tcPr>
          <w:p w14:paraId="51845DC8" w14:textId="77777777" w:rsidR="00000000" w:rsidRDefault="00000000">
            <w:pPr>
              <w:snapToGrid w:val="0"/>
              <w:spacing w:before="26" w:after="26"/>
            </w:pPr>
            <w:r>
              <w:rPr>
                <w:rFonts w:ascii="Times New Roman" w:hAnsi="Times New Roman" w:cs="Times New Roman"/>
                <w:sz w:val="16"/>
                <w:szCs w:val="16"/>
                <w:lang w:val="es-PE"/>
              </w:rPr>
              <w:t>RFECV</w:t>
            </w:r>
          </w:p>
        </w:tc>
        <w:tc>
          <w:tcPr>
            <w:tcW w:w="2646" w:type="dxa"/>
            <w:vAlign w:val="center"/>
          </w:tcPr>
          <w:p w14:paraId="5E0E9A85" w14:textId="77777777" w:rsidR="00000000" w:rsidRDefault="00000000">
            <w:pPr>
              <w:snapToGrid w:val="0"/>
              <w:spacing w:before="26" w:after="26"/>
            </w:pPr>
            <w:r>
              <w:rPr>
                <w:rFonts w:ascii="Times New Roman" w:hAnsi="Times New Roman" w:cs="Times New Roman"/>
                <w:sz w:val="16"/>
                <w:szCs w:val="16"/>
                <w:lang w:val="es-PE"/>
              </w:rPr>
              <w:t>Wrapper (Recursive + Temporal CV)</w:t>
            </w:r>
          </w:p>
        </w:tc>
        <w:tc>
          <w:tcPr>
            <w:tcW w:w="808" w:type="dxa"/>
            <w:vAlign w:val="center"/>
          </w:tcPr>
          <w:p w14:paraId="714ACA7D" w14:textId="77777777" w:rsidR="00000000" w:rsidRDefault="00000000">
            <w:pPr>
              <w:snapToGrid w:val="0"/>
              <w:spacing w:before="26" w:after="26"/>
            </w:pPr>
            <w:r>
              <w:rPr>
                <w:rFonts w:ascii="Times New Roman" w:hAnsi="Times New Roman" w:cs="Times New Roman"/>
                <w:sz w:val="16"/>
                <w:szCs w:val="16"/>
                <w:lang w:val="es-PE"/>
              </w:rPr>
              <w:t>52</w:t>
            </w:r>
          </w:p>
        </w:tc>
      </w:tr>
    </w:tbl>
    <w:p w14:paraId="08BE6A73" w14:textId="77777777" w:rsidR="00000000" w:rsidRDefault="00000000">
      <w:pPr>
        <w:snapToGrid w:val="0"/>
        <w:ind w:firstLine="360"/>
        <w:jc w:val="both"/>
        <w:rPr>
          <w:rFonts w:ascii="Times New Roman" w:hAnsi="Times New Roman" w:cs="Times New Roman"/>
          <w:lang w:val="en-US"/>
        </w:rPr>
      </w:pPr>
    </w:p>
    <w:p w14:paraId="0C066A97" w14:textId="77777777" w:rsidR="00000000" w:rsidRDefault="00000000">
      <w:pPr>
        <w:snapToGrid w:val="0"/>
        <w:ind w:firstLine="360"/>
        <w:jc w:val="both"/>
        <w:rPr>
          <w:rFonts w:ascii="Times New Roman" w:hAnsi="Times New Roman" w:cs="Times New Roman"/>
        </w:rPr>
      </w:pPr>
      <w:r>
        <w:rPr>
          <w:rFonts w:ascii="Times New Roman" w:hAnsi="Times New Roman" w:cs="Times New Roman"/>
        </w:rPr>
        <w:t xml:space="preserve">The consensus among methods is formalized by Equation (2), where each term represents the binary vote of the corresponding method (1 if feature </w:t>
      </w:r>
      <w:r>
        <w:rPr>
          <w:rFonts w:ascii="Times New Roman" w:hAnsi="Times New Roman" w:cs="Times New Roman"/>
          <w:i/>
          <w:iCs/>
        </w:rPr>
        <w:t>i</w:t>
      </w:r>
      <w:r>
        <w:rPr>
          <w:rFonts w:ascii="Times New Roman" w:hAnsi="Times New Roman" w:cs="Times New Roman"/>
        </w:rPr>
        <w:t xml:space="preserve"> is selected, 0 otherwise).</w:t>
      </w:r>
    </w:p>
    <w:p w14:paraId="6D33C7CB" w14:textId="77777777" w:rsidR="00000000" w:rsidRDefault="00000000">
      <w:pPr>
        <w:snapToGrid w:val="0"/>
        <w:ind w:firstLine="360"/>
        <w:jc w:val="both"/>
        <w:rPr>
          <w:rFonts w:ascii="Times New Roman" w:hAnsi="Times New Roman" w:cs="Times New Roman"/>
        </w:rPr>
      </w:pPr>
    </w:p>
    <w:tbl>
      <w:tblPr>
        <w:tblW w:w="0" w:type="auto"/>
        <w:jc w:val="center"/>
        <w:tblLayout w:type="fixed"/>
        <w:tblLook w:val="0000" w:firstRow="0" w:lastRow="0" w:firstColumn="0" w:lastColumn="0" w:noHBand="0" w:noVBand="0"/>
      </w:tblPr>
      <w:tblGrid>
        <w:gridCol w:w="4697"/>
        <w:gridCol w:w="450"/>
      </w:tblGrid>
      <w:tr w:rsidR="00000000" w14:paraId="1BDD0C00" w14:textId="77777777">
        <w:trPr>
          <w:jc w:val="center"/>
        </w:trPr>
        <w:tc>
          <w:tcPr>
            <w:tcW w:w="4697" w:type="dxa"/>
            <w:vAlign w:val="center"/>
          </w:tcPr>
          <w:p w14:paraId="7684A5A3" w14:textId="77777777" w:rsidR="00000000" w:rsidRDefault="00000000">
            <w:pPr>
              <w:snapToGrid w:val="0"/>
              <w:jc w:val="center"/>
              <w:rPr>
                <w:rFonts w:ascii="Times New Roman" w:hAnsi="Times New Roman" w:cs="Times New Roman"/>
                <w:lang w:val="es-PE"/>
              </w:rPr>
            </w:pPr>
            <w:r>
              <w:rPr>
                <w:lang w:val="es-PE" w:eastAsia="es-PE"/>
              </w:rPr>
              <w:pict w14:anchorId="206B814E">
                <v:shape id="_x0000_i1031" type="#_x0000_t75" style="width:223.8pt;height:16.2pt" filled="t">
                  <v:fill opacity="0" color2="black"/>
                  <v:imagedata r:id="rId18" o:title="" croptop="-175f" cropbottom="-175f" cropleft="-13f" cropright="-13f"/>
                </v:shape>
              </w:pict>
            </w:r>
          </w:p>
        </w:tc>
        <w:tc>
          <w:tcPr>
            <w:tcW w:w="450" w:type="dxa"/>
            <w:vAlign w:val="center"/>
          </w:tcPr>
          <w:p w14:paraId="59D357D2" w14:textId="77777777" w:rsidR="00000000" w:rsidRDefault="00000000">
            <w:pPr>
              <w:snapToGrid w:val="0"/>
              <w:jc w:val="center"/>
            </w:pPr>
            <w:r>
              <w:rPr>
                <w:rFonts w:ascii="Times New Roman" w:hAnsi="Times New Roman" w:cs="Times New Roman"/>
                <w:lang w:val="es-PE"/>
              </w:rPr>
              <w:t>(</w:t>
            </w:r>
            <w:r>
              <w:rPr>
                <w:rFonts w:ascii="Times New Roman" w:hAnsi="Times New Roman" w:cs="Times New Roman"/>
                <w:lang w:val="es-PE"/>
              </w:rPr>
              <w:fldChar w:fldCharType="begin"/>
            </w:r>
            <w:r>
              <w:rPr>
                <w:rFonts w:ascii="Times New Roman" w:hAnsi="Times New Roman" w:cs="Times New Roman"/>
                <w:lang w:val="es-PE"/>
              </w:rPr>
              <w:instrText xml:space="preserve"> SEQ "Ecu" \* ARABIC </w:instrText>
            </w:r>
            <w:r>
              <w:rPr>
                <w:rFonts w:ascii="Times New Roman" w:hAnsi="Times New Roman" w:cs="Times New Roman"/>
                <w:lang w:val="es-PE"/>
              </w:rPr>
              <w:fldChar w:fldCharType="separate"/>
            </w:r>
            <w:r>
              <w:rPr>
                <w:rFonts w:ascii="Times New Roman" w:hAnsi="Times New Roman" w:cs="Times New Roman"/>
                <w:lang w:val="es-PE"/>
              </w:rPr>
              <w:t>2</w:t>
            </w:r>
            <w:r>
              <w:rPr>
                <w:rFonts w:ascii="Times New Roman" w:hAnsi="Times New Roman" w:cs="Times New Roman"/>
                <w:lang w:val="es-PE"/>
              </w:rPr>
              <w:fldChar w:fldCharType="end"/>
            </w:r>
            <w:r>
              <w:rPr>
                <w:rFonts w:ascii="Times New Roman" w:hAnsi="Times New Roman" w:cs="Times New Roman"/>
                <w:lang w:val="es-PE"/>
              </w:rPr>
              <w:t>)</w:t>
            </w:r>
          </w:p>
        </w:tc>
      </w:tr>
    </w:tbl>
    <w:p w14:paraId="0A222762" w14:textId="77777777" w:rsidR="00000000" w:rsidRDefault="00000000">
      <w:pPr>
        <w:snapToGrid w:val="0"/>
        <w:ind w:firstLine="360"/>
        <w:jc w:val="both"/>
        <w:rPr>
          <w:rFonts w:ascii="Times New Roman" w:hAnsi="Times New Roman" w:cs="Times New Roman"/>
          <w:lang w:val="es-PE"/>
        </w:rPr>
      </w:pPr>
    </w:p>
    <w:p w14:paraId="5B4D83BC" w14:textId="77777777" w:rsidR="00000000" w:rsidRDefault="00000000">
      <w:pPr>
        <w:snapToGrid w:val="0"/>
        <w:ind w:firstLine="360"/>
        <w:jc w:val="both"/>
        <w:rPr>
          <w:b/>
          <w:bCs/>
        </w:rPr>
      </w:pPr>
      <w:r>
        <w:rPr>
          <w:rFonts w:ascii="Times New Roman" w:hAnsi="Times New Roman" w:cs="Times New Roman"/>
          <w:lang w:val="en-US"/>
        </w:rPr>
        <w:t>The final features were determined using a consensus voting mechanism with a minimum threshold of 2 out of 6 methods, resulting in a subset of 69 final features (Table VI).</w:t>
      </w:r>
    </w:p>
    <w:p w14:paraId="47C3B8C9" w14:textId="77777777" w:rsidR="00000000" w:rsidRDefault="00000000">
      <w:pPr>
        <w:pStyle w:val="TableCaption"/>
        <w:rPr>
          <w:b/>
          <w:bCs/>
          <w:lang w:val="es-PE"/>
        </w:rPr>
      </w:pPr>
      <w:r>
        <w:rPr>
          <w:b/>
          <w:bCs/>
        </w:rPr>
        <w:t xml:space="preserve">TABLE VI. </w:t>
      </w:r>
      <w:r>
        <w:t>CONSENSUS VOTING DISTRIBUTION AND RETAINED FEATURES</w:t>
      </w:r>
    </w:p>
    <w:tbl>
      <w:tblPr>
        <w:tblW w:w="0" w:type="auto"/>
        <w:jc w:val="center"/>
        <w:tblLayout w:type="fixed"/>
        <w:tblLook w:val="0000" w:firstRow="0" w:lastRow="0" w:firstColumn="0" w:lastColumn="0" w:noHBand="0" w:noVBand="0"/>
      </w:tblPr>
      <w:tblGrid>
        <w:gridCol w:w="2116"/>
        <w:gridCol w:w="808"/>
        <w:gridCol w:w="1192"/>
      </w:tblGrid>
      <w:tr w:rsidR="00000000" w14:paraId="76F71C81" w14:textId="77777777">
        <w:trPr>
          <w:tblHeader/>
          <w:jc w:val="center"/>
        </w:trPr>
        <w:tc>
          <w:tcPr>
            <w:tcW w:w="2116" w:type="dxa"/>
            <w:tcBorders>
              <w:bottom w:val="single" w:sz="4" w:space="0" w:color="000000"/>
            </w:tcBorders>
          </w:tcPr>
          <w:p w14:paraId="3A94C9AB" w14:textId="77777777" w:rsidR="00000000" w:rsidRDefault="00000000">
            <w:pPr>
              <w:snapToGrid w:val="0"/>
              <w:spacing w:before="26" w:after="26"/>
            </w:pPr>
            <w:r>
              <w:rPr>
                <w:rFonts w:ascii="Times New Roman" w:hAnsi="Times New Roman" w:cs="Times New Roman"/>
                <w:b/>
                <w:bCs/>
                <w:sz w:val="16"/>
                <w:szCs w:val="16"/>
                <w:lang w:val="es-PE"/>
              </w:rPr>
              <w:t>Votes (6 methods)</w:t>
            </w:r>
          </w:p>
        </w:tc>
        <w:tc>
          <w:tcPr>
            <w:tcW w:w="808" w:type="dxa"/>
            <w:tcBorders>
              <w:bottom w:val="single" w:sz="4" w:space="0" w:color="000000"/>
            </w:tcBorders>
          </w:tcPr>
          <w:p w14:paraId="79096601" w14:textId="77777777" w:rsidR="00000000" w:rsidRDefault="00000000">
            <w:pPr>
              <w:snapToGrid w:val="0"/>
              <w:spacing w:before="26" w:after="26"/>
            </w:pPr>
            <w:r>
              <w:rPr>
                <w:rFonts w:ascii="Times New Roman" w:hAnsi="Times New Roman" w:cs="Times New Roman"/>
                <w:b/>
                <w:bCs/>
                <w:sz w:val="16"/>
                <w:szCs w:val="16"/>
                <w:lang w:val="es-PE"/>
              </w:rPr>
              <w:t>No. vars</w:t>
            </w:r>
          </w:p>
        </w:tc>
        <w:tc>
          <w:tcPr>
            <w:tcW w:w="1192" w:type="dxa"/>
            <w:tcBorders>
              <w:bottom w:val="single" w:sz="4" w:space="0" w:color="000000"/>
            </w:tcBorders>
          </w:tcPr>
          <w:p w14:paraId="789B401A" w14:textId="77777777" w:rsidR="00000000" w:rsidRDefault="00000000">
            <w:pPr>
              <w:snapToGrid w:val="0"/>
              <w:spacing w:before="26" w:after="26"/>
            </w:pPr>
            <w:r>
              <w:rPr>
                <w:rFonts w:ascii="Times New Roman" w:hAnsi="Times New Roman" w:cs="Times New Roman"/>
                <w:b/>
                <w:bCs/>
                <w:sz w:val="16"/>
                <w:szCs w:val="16"/>
                <w:lang w:val="es-PE"/>
              </w:rPr>
              <w:t>% Total (433)</w:t>
            </w:r>
          </w:p>
        </w:tc>
      </w:tr>
      <w:tr w:rsidR="00000000" w14:paraId="10EBF7D7" w14:textId="77777777">
        <w:trPr>
          <w:jc w:val="center"/>
        </w:trPr>
        <w:tc>
          <w:tcPr>
            <w:tcW w:w="2116" w:type="dxa"/>
          </w:tcPr>
          <w:p w14:paraId="010D72D5" w14:textId="77777777" w:rsidR="00000000" w:rsidRDefault="00000000">
            <w:pPr>
              <w:snapToGrid w:val="0"/>
              <w:spacing w:before="26" w:after="26"/>
            </w:pPr>
            <w:r>
              <w:rPr>
                <w:rFonts w:ascii="Times New Roman" w:hAnsi="Times New Roman" w:cs="Times New Roman"/>
                <w:sz w:val="16"/>
                <w:szCs w:val="16"/>
                <w:lang w:val="es-PE"/>
              </w:rPr>
              <w:t>6/6 (Unanimous)</w:t>
            </w:r>
          </w:p>
        </w:tc>
        <w:tc>
          <w:tcPr>
            <w:tcW w:w="808" w:type="dxa"/>
          </w:tcPr>
          <w:p w14:paraId="7BFB137E" w14:textId="77777777" w:rsidR="00000000" w:rsidRDefault="00000000">
            <w:pPr>
              <w:snapToGrid w:val="0"/>
              <w:spacing w:before="26" w:after="26"/>
            </w:pPr>
            <w:r>
              <w:rPr>
                <w:rFonts w:ascii="Times New Roman" w:hAnsi="Times New Roman" w:cs="Times New Roman"/>
                <w:sz w:val="16"/>
                <w:szCs w:val="16"/>
                <w:lang w:val="es-PE"/>
              </w:rPr>
              <w:t>3</w:t>
            </w:r>
          </w:p>
        </w:tc>
        <w:tc>
          <w:tcPr>
            <w:tcW w:w="1192" w:type="dxa"/>
          </w:tcPr>
          <w:p w14:paraId="6A27B8DD" w14:textId="77777777" w:rsidR="00000000" w:rsidRDefault="00000000">
            <w:pPr>
              <w:snapToGrid w:val="0"/>
              <w:spacing w:before="26" w:after="26"/>
            </w:pPr>
            <w:r>
              <w:rPr>
                <w:rFonts w:ascii="Times New Roman" w:hAnsi="Times New Roman" w:cs="Times New Roman"/>
                <w:sz w:val="16"/>
                <w:szCs w:val="16"/>
                <w:lang w:val="es-PE"/>
              </w:rPr>
              <w:t>0.7%</w:t>
            </w:r>
          </w:p>
        </w:tc>
      </w:tr>
      <w:tr w:rsidR="00000000" w14:paraId="1E93FA8B" w14:textId="77777777">
        <w:trPr>
          <w:jc w:val="center"/>
        </w:trPr>
        <w:tc>
          <w:tcPr>
            <w:tcW w:w="2116" w:type="dxa"/>
          </w:tcPr>
          <w:p w14:paraId="478FA8C1" w14:textId="77777777" w:rsidR="00000000" w:rsidRDefault="00000000">
            <w:pPr>
              <w:snapToGrid w:val="0"/>
              <w:spacing w:before="26" w:after="26"/>
            </w:pPr>
            <w:r>
              <w:rPr>
                <w:rFonts w:ascii="Times New Roman" w:hAnsi="Times New Roman" w:cs="Times New Roman"/>
                <w:sz w:val="16"/>
                <w:szCs w:val="16"/>
                <w:lang w:val="es-PE"/>
              </w:rPr>
              <w:t>5/6</w:t>
            </w:r>
          </w:p>
        </w:tc>
        <w:tc>
          <w:tcPr>
            <w:tcW w:w="808" w:type="dxa"/>
          </w:tcPr>
          <w:p w14:paraId="6D49D00C" w14:textId="77777777" w:rsidR="00000000" w:rsidRDefault="00000000">
            <w:pPr>
              <w:snapToGrid w:val="0"/>
              <w:spacing w:before="26" w:after="26"/>
            </w:pPr>
            <w:r>
              <w:rPr>
                <w:rFonts w:ascii="Times New Roman" w:hAnsi="Times New Roman" w:cs="Times New Roman"/>
                <w:sz w:val="16"/>
                <w:szCs w:val="16"/>
                <w:lang w:val="es-PE"/>
              </w:rPr>
              <w:t>5</w:t>
            </w:r>
          </w:p>
        </w:tc>
        <w:tc>
          <w:tcPr>
            <w:tcW w:w="1192" w:type="dxa"/>
          </w:tcPr>
          <w:p w14:paraId="43BF57B1" w14:textId="77777777" w:rsidR="00000000" w:rsidRDefault="00000000">
            <w:pPr>
              <w:snapToGrid w:val="0"/>
              <w:spacing w:before="26" w:after="26"/>
            </w:pPr>
            <w:r>
              <w:rPr>
                <w:rFonts w:ascii="Times New Roman" w:hAnsi="Times New Roman" w:cs="Times New Roman"/>
                <w:sz w:val="16"/>
                <w:szCs w:val="16"/>
                <w:lang w:val="es-PE"/>
              </w:rPr>
              <w:t>1.2%</w:t>
            </w:r>
          </w:p>
        </w:tc>
      </w:tr>
      <w:tr w:rsidR="00000000" w14:paraId="42A91823" w14:textId="77777777">
        <w:trPr>
          <w:jc w:val="center"/>
        </w:trPr>
        <w:tc>
          <w:tcPr>
            <w:tcW w:w="2116" w:type="dxa"/>
          </w:tcPr>
          <w:p w14:paraId="2DFF66C9" w14:textId="77777777" w:rsidR="00000000" w:rsidRDefault="00000000">
            <w:pPr>
              <w:snapToGrid w:val="0"/>
              <w:spacing w:before="26" w:after="26"/>
            </w:pPr>
            <w:r>
              <w:rPr>
                <w:rFonts w:ascii="Times New Roman" w:hAnsi="Times New Roman" w:cs="Times New Roman"/>
                <w:sz w:val="16"/>
                <w:szCs w:val="16"/>
                <w:lang w:val="es-PE"/>
              </w:rPr>
              <w:t>4/6</w:t>
            </w:r>
          </w:p>
        </w:tc>
        <w:tc>
          <w:tcPr>
            <w:tcW w:w="808" w:type="dxa"/>
          </w:tcPr>
          <w:p w14:paraId="3A170104" w14:textId="77777777" w:rsidR="00000000" w:rsidRDefault="00000000">
            <w:pPr>
              <w:snapToGrid w:val="0"/>
              <w:spacing w:before="26" w:after="26"/>
            </w:pPr>
            <w:r>
              <w:rPr>
                <w:rFonts w:ascii="Times New Roman" w:hAnsi="Times New Roman" w:cs="Times New Roman"/>
                <w:sz w:val="16"/>
                <w:szCs w:val="16"/>
                <w:lang w:val="es-PE"/>
              </w:rPr>
              <w:t>12</w:t>
            </w:r>
          </w:p>
        </w:tc>
        <w:tc>
          <w:tcPr>
            <w:tcW w:w="1192" w:type="dxa"/>
          </w:tcPr>
          <w:p w14:paraId="1F8EC1AF" w14:textId="77777777" w:rsidR="00000000" w:rsidRDefault="00000000">
            <w:pPr>
              <w:snapToGrid w:val="0"/>
              <w:spacing w:before="26" w:after="26"/>
            </w:pPr>
            <w:r>
              <w:rPr>
                <w:rFonts w:ascii="Times New Roman" w:hAnsi="Times New Roman" w:cs="Times New Roman"/>
                <w:sz w:val="16"/>
                <w:szCs w:val="16"/>
                <w:lang w:val="es-PE"/>
              </w:rPr>
              <w:t>2.8%</w:t>
            </w:r>
          </w:p>
        </w:tc>
      </w:tr>
      <w:tr w:rsidR="00000000" w14:paraId="6DA1C78D" w14:textId="77777777">
        <w:trPr>
          <w:jc w:val="center"/>
        </w:trPr>
        <w:tc>
          <w:tcPr>
            <w:tcW w:w="2116" w:type="dxa"/>
          </w:tcPr>
          <w:p w14:paraId="6C0FCE14" w14:textId="77777777" w:rsidR="00000000" w:rsidRDefault="00000000">
            <w:pPr>
              <w:snapToGrid w:val="0"/>
              <w:spacing w:before="26" w:after="26"/>
            </w:pPr>
            <w:r>
              <w:rPr>
                <w:rFonts w:ascii="Times New Roman" w:hAnsi="Times New Roman" w:cs="Times New Roman"/>
                <w:sz w:val="16"/>
                <w:szCs w:val="16"/>
                <w:lang w:val="es-PE"/>
              </w:rPr>
              <w:t>3/6</w:t>
            </w:r>
          </w:p>
        </w:tc>
        <w:tc>
          <w:tcPr>
            <w:tcW w:w="808" w:type="dxa"/>
          </w:tcPr>
          <w:p w14:paraId="3561CD87" w14:textId="77777777" w:rsidR="00000000" w:rsidRDefault="00000000">
            <w:pPr>
              <w:snapToGrid w:val="0"/>
              <w:spacing w:before="26" w:after="26"/>
            </w:pPr>
            <w:r>
              <w:rPr>
                <w:rFonts w:ascii="Times New Roman" w:hAnsi="Times New Roman" w:cs="Times New Roman"/>
                <w:sz w:val="16"/>
                <w:szCs w:val="16"/>
                <w:lang w:val="es-PE"/>
              </w:rPr>
              <w:t>20</w:t>
            </w:r>
          </w:p>
        </w:tc>
        <w:tc>
          <w:tcPr>
            <w:tcW w:w="1192" w:type="dxa"/>
          </w:tcPr>
          <w:p w14:paraId="04167C0E" w14:textId="77777777" w:rsidR="00000000" w:rsidRDefault="00000000">
            <w:pPr>
              <w:snapToGrid w:val="0"/>
              <w:spacing w:before="26" w:after="26"/>
            </w:pPr>
            <w:r>
              <w:rPr>
                <w:rFonts w:ascii="Times New Roman" w:hAnsi="Times New Roman" w:cs="Times New Roman"/>
                <w:sz w:val="16"/>
                <w:szCs w:val="16"/>
                <w:lang w:val="es-PE"/>
              </w:rPr>
              <w:t>4.6%</w:t>
            </w:r>
          </w:p>
        </w:tc>
      </w:tr>
      <w:tr w:rsidR="00000000" w14:paraId="27425D44" w14:textId="77777777">
        <w:trPr>
          <w:jc w:val="center"/>
        </w:trPr>
        <w:tc>
          <w:tcPr>
            <w:tcW w:w="2116" w:type="dxa"/>
          </w:tcPr>
          <w:p w14:paraId="72715B57" w14:textId="77777777" w:rsidR="00000000" w:rsidRDefault="00000000">
            <w:pPr>
              <w:snapToGrid w:val="0"/>
              <w:spacing w:before="26" w:after="26"/>
            </w:pPr>
            <w:r>
              <w:rPr>
                <w:rFonts w:ascii="Times New Roman" w:hAnsi="Times New Roman" w:cs="Times New Roman"/>
                <w:sz w:val="16"/>
                <w:szCs w:val="16"/>
                <w:lang w:val="es-PE"/>
              </w:rPr>
              <w:t>2/6 (Minimum Threshold)</w:t>
            </w:r>
          </w:p>
        </w:tc>
        <w:tc>
          <w:tcPr>
            <w:tcW w:w="808" w:type="dxa"/>
          </w:tcPr>
          <w:p w14:paraId="01CA00D6" w14:textId="77777777" w:rsidR="00000000" w:rsidRDefault="00000000">
            <w:pPr>
              <w:snapToGrid w:val="0"/>
              <w:spacing w:before="26" w:after="26"/>
            </w:pPr>
            <w:r>
              <w:rPr>
                <w:rFonts w:ascii="Times New Roman" w:hAnsi="Times New Roman" w:cs="Times New Roman"/>
                <w:sz w:val="16"/>
                <w:szCs w:val="16"/>
                <w:lang w:val="es-PE"/>
              </w:rPr>
              <w:t>29</w:t>
            </w:r>
          </w:p>
        </w:tc>
        <w:tc>
          <w:tcPr>
            <w:tcW w:w="1192" w:type="dxa"/>
          </w:tcPr>
          <w:p w14:paraId="3D8EB855" w14:textId="77777777" w:rsidR="00000000" w:rsidRDefault="00000000">
            <w:pPr>
              <w:snapToGrid w:val="0"/>
              <w:spacing w:before="26" w:after="26"/>
            </w:pPr>
            <w:r>
              <w:rPr>
                <w:rFonts w:ascii="Times New Roman" w:hAnsi="Times New Roman" w:cs="Times New Roman"/>
                <w:sz w:val="16"/>
                <w:szCs w:val="16"/>
                <w:lang w:val="es-PE"/>
              </w:rPr>
              <w:t>6.7%</w:t>
            </w:r>
          </w:p>
        </w:tc>
      </w:tr>
      <w:tr w:rsidR="00000000" w14:paraId="473CE431" w14:textId="77777777">
        <w:trPr>
          <w:jc w:val="center"/>
        </w:trPr>
        <w:tc>
          <w:tcPr>
            <w:tcW w:w="2116" w:type="dxa"/>
          </w:tcPr>
          <w:p w14:paraId="3800AFA7" w14:textId="77777777" w:rsidR="00000000" w:rsidRDefault="00000000">
            <w:pPr>
              <w:snapToGrid w:val="0"/>
              <w:spacing w:before="26" w:after="26"/>
            </w:pPr>
            <w:r>
              <w:rPr>
                <w:rFonts w:ascii="Times New Roman" w:hAnsi="Times New Roman" w:cs="Times New Roman"/>
                <w:sz w:val="16"/>
                <w:szCs w:val="16"/>
                <w:lang w:val="es-PE"/>
              </w:rPr>
              <w:t>Retained Subtotal (≥2 Votes)</w:t>
            </w:r>
          </w:p>
        </w:tc>
        <w:tc>
          <w:tcPr>
            <w:tcW w:w="808" w:type="dxa"/>
          </w:tcPr>
          <w:p w14:paraId="0D5F6B1E" w14:textId="77777777" w:rsidR="00000000" w:rsidRDefault="00000000">
            <w:pPr>
              <w:snapToGrid w:val="0"/>
              <w:spacing w:before="26" w:after="26"/>
            </w:pPr>
            <w:r>
              <w:rPr>
                <w:rFonts w:ascii="Times New Roman" w:hAnsi="Times New Roman" w:cs="Times New Roman"/>
                <w:sz w:val="16"/>
                <w:szCs w:val="16"/>
                <w:lang w:val="es-PE"/>
              </w:rPr>
              <w:t>69</w:t>
            </w:r>
          </w:p>
        </w:tc>
        <w:tc>
          <w:tcPr>
            <w:tcW w:w="1192" w:type="dxa"/>
          </w:tcPr>
          <w:p w14:paraId="209D2263" w14:textId="77777777" w:rsidR="00000000" w:rsidRDefault="00000000">
            <w:pPr>
              <w:snapToGrid w:val="0"/>
              <w:spacing w:before="26" w:after="26"/>
            </w:pPr>
            <w:r>
              <w:rPr>
                <w:rFonts w:ascii="Times New Roman" w:hAnsi="Times New Roman" w:cs="Times New Roman"/>
                <w:sz w:val="16"/>
                <w:szCs w:val="16"/>
                <w:lang w:val="es-PE"/>
              </w:rPr>
              <w:t>15.9%</w:t>
            </w:r>
          </w:p>
        </w:tc>
      </w:tr>
      <w:tr w:rsidR="00000000" w14:paraId="4974DECB" w14:textId="77777777">
        <w:trPr>
          <w:jc w:val="center"/>
        </w:trPr>
        <w:tc>
          <w:tcPr>
            <w:tcW w:w="2116" w:type="dxa"/>
          </w:tcPr>
          <w:p w14:paraId="060AF66F" w14:textId="77777777" w:rsidR="00000000" w:rsidRDefault="00000000">
            <w:pPr>
              <w:snapToGrid w:val="0"/>
              <w:spacing w:before="26" w:after="26"/>
            </w:pPr>
            <w:r>
              <w:rPr>
                <w:rFonts w:ascii="Times New Roman" w:hAnsi="Times New Roman" w:cs="Times New Roman"/>
                <w:sz w:val="16"/>
                <w:szCs w:val="16"/>
                <w:lang w:val="es-PE"/>
              </w:rPr>
              <w:t>1/6 (Discarded)</w:t>
            </w:r>
          </w:p>
        </w:tc>
        <w:tc>
          <w:tcPr>
            <w:tcW w:w="808" w:type="dxa"/>
          </w:tcPr>
          <w:p w14:paraId="6D9CB080" w14:textId="77777777" w:rsidR="00000000" w:rsidRDefault="00000000">
            <w:pPr>
              <w:snapToGrid w:val="0"/>
              <w:spacing w:before="26" w:after="26"/>
            </w:pPr>
            <w:r>
              <w:rPr>
                <w:rFonts w:ascii="Times New Roman" w:hAnsi="Times New Roman" w:cs="Times New Roman"/>
                <w:sz w:val="16"/>
                <w:szCs w:val="16"/>
                <w:lang w:val="es-PE"/>
              </w:rPr>
              <w:t>15</w:t>
            </w:r>
          </w:p>
        </w:tc>
        <w:tc>
          <w:tcPr>
            <w:tcW w:w="1192" w:type="dxa"/>
          </w:tcPr>
          <w:p w14:paraId="2F2C16D6" w14:textId="77777777" w:rsidR="00000000" w:rsidRDefault="00000000">
            <w:pPr>
              <w:snapToGrid w:val="0"/>
              <w:spacing w:before="26" w:after="26"/>
            </w:pPr>
            <w:r>
              <w:rPr>
                <w:rFonts w:ascii="Times New Roman" w:hAnsi="Times New Roman" w:cs="Times New Roman"/>
                <w:sz w:val="16"/>
                <w:szCs w:val="16"/>
                <w:lang w:val="es-PE"/>
              </w:rPr>
              <w:t>3.5%</w:t>
            </w:r>
          </w:p>
        </w:tc>
      </w:tr>
      <w:tr w:rsidR="00000000" w14:paraId="5D68CF35" w14:textId="77777777">
        <w:trPr>
          <w:jc w:val="center"/>
        </w:trPr>
        <w:tc>
          <w:tcPr>
            <w:tcW w:w="2116" w:type="dxa"/>
          </w:tcPr>
          <w:p w14:paraId="2393DD6D" w14:textId="77777777" w:rsidR="00000000" w:rsidRDefault="00000000">
            <w:pPr>
              <w:snapToGrid w:val="0"/>
              <w:spacing w:before="26" w:after="26"/>
            </w:pPr>
            <w:r>
              <w:rPr>
                <w:rFonts w:ascii="Times New Roman" w:hAnsi="Times New Roman" w:cs="Times New Roman"/>
                <w:sz w:val="16"/>
                <w:szCs w:val="16"/>
                <w:lang w:val="es-PE"/>
              </w:rPr>
              <w:t>0/6 (Discarded)</w:t>
            </w:r>
          </w:p>
        </w:tc>
        <w:tc>
          <w:tcPr>
            <w:tcW w:w="808" w:type="dxa"/>
          </w:tcPr>
          <w:p w14:paraId="7AA2639A" w14:textId="77777777" w:rsidR="00000000" w:rsidRDefault="00000000">
            <w:pPr>
              <w:snapToGrid w:val="0"/>
              <w:spacing w:before="26" w:after="26"/>
            </w:pPr>
            <w:r>
              <w:rPr>
                <w:rFonts w:ascii="Times New Roman" w:hAnsi="Times New Roman" w:cs="Times New Roman"/>
                <w:sz w:val="16"/>
                <w:szCs w:val="16"/>
                <w:lang w:val="es-PE"/>
              </w:rPr>
              <w:t>349</w:t>
            </w:r>
          </w:p>
        </w:tc>
        <w:tc>
          <w:tcPr>
            <w:tcW w:w="1192" w:type="dxa"/>
          </w:tcPr>
          <w:p w14:paraId="42D41650" w14:textId="77777777" w:rsidR="00000000" w:rsidRDefault="00000000">
            <w:pPr>
              <w:snapToGrid w:val="0"/>
              <w:spacing w:before="26" w:after="26"/>
            </w:pPr>
            <w:r>
              <w:rPr>
                <w:rFonts w:ascii="Times New Roman" w:hAnsi="Times New Roman" w:cs="Times New Roman"/>
                <w:sz w:val="16"/>
                <w:szCs w:val="16"/>
                <w:lang w:val="es-PE"/>
              </w:rPr>
              <w:t>80.6%</w:t>
            </w:r>
          </w:p>
        </w:tc>
      </w:tr>
    </w:tbl>
    <w:p w14:paraId="18E1FD6C" w14:textId="77777777" w:rsidR="00000000" w:rsidRDefault="00000000">
      <w:pPr>
        <w:pStyle w:val="Notetable"/>
      </w:pPr>
      <w:r>
        <w:t>Note: Consensus threshold = votes ≥ 2/6. The three features with unanimous agreement (6/6) are freq_distrito_fiscal, freq_tipo_caso, and tipo_caso_DENUNCIA.</w:t>
      </w:r>
    </w:p>
    <w:p w14:paraId="30C3D18E" w14:textId="77777777" w:rsidR="00000000" w:rsidRDefault="00000000">
      <w:pPr>
        <w:pStyle w:val="Ttulo2"/>
      </w:pPr>
      <w:r>
        <w:t>C. Feature Space Validation</w:t>
      </w:r>
    </w:p>
    <w:p w14:paraId="634B0CB3" w14:textId="77777777" w:rsidR="00000000" w:rsidRDefault="00000000">
      <w:pPr>
        <w:snapToGrid w:val="0"/>
        <w:ind w:firstLine="360"/>
        <w:jc w:val="both"/>
        <w:rPr>
          <w:rFonts w:ascii="Times New Roman" w:hAnsi="Times New Roman" w:cs="Times New Roman"/>
          <w:lang w:val="en-US"/>
        </w:rPr>
      </w:pPr>
      <w:r>
        <w:rPr>
          <w:rFonts w:ascii="Times New Roman" w:hAnsi="Times New Roman" w:cs="Times New Roman"/>
        </w:rPr>
        <w:t>The purpose was to examine the internal topology of the feature space and evaluate the consistency of the proxy risk signal with the multivariate structure of the data. The exploratory analyses (PCA, t-SNE, and UMAP; Figures 4–6) confirmed the existence of nonlinear structures with local clusters and partial overlap between classes, thereby justifying the use of robust classifiers.</w:t>
      </w:r>
    </w:p>
    <w:p w14:paraId="5133203E" w14:textId="77777777" w:rsidR="00000000" w:rsidRDefault="00000000">
      <w:pPr>
        <w:snapToGrid w:val="0"/>
        <w:ind w:firstLine="360"/>
        <w:jc w:val="both"/>
        <w:rPr>
          <w:rFonts w:ascii="Times New Roman" w:hAnsi="Times New Roman" w:cs="Times New Roman"/>
          <w:lang w:val="en-US"/>
        </w:rPr>
      </w:pPr>
    </w:p>
    <w:p w14:paraId="3168D5F9" w14:textId="77777777" w:rsidR="00000000" w:rsidRDefault="00000000">
      <w:pPr>
        <w:snapToGrid w:val="0"/>
        <w:ind w:firstLine="993"/>
        <w:jc w:val="both"/>
        <w:rPr>
          <w:b/>
          <w:bCs/>
        </w:rPr>
      </w:pPr>
      <w:r>
        <w:rPr>
          <w:lang w:val="es-PE" w:eastAsia="es-PE"/>
        </w:rPr>
        <w:pict w14:anchorId="574C6214">
          <v:shape id="_x0000_i1032" type="#_x0000_t75" style="width:159pt;height:105pt" filled="t">
            <v:fill opacity="0" color2="black"/>
            <v:imagedata r:id="rId19" o:title="" croptop="-20f" cropbottom="-20f" cropleft="-13f" cropright="-26f"/>
          </v:shape>
        </w:pict>
      </w:r>
    </w:p>
    <w:p w14:paraId="1DE57711" w14:textId="77777777" w:rsidR="00000000" w:rsidRDefault="00000000">
      <w:pPr>
        <w:pStyle w:val="FigureCaption"/>
      </w:pPr>
      <w:r>
        <w:rPr>
          <w:b/>
          <w:bCs/>
        </w:rPr>
        <w:t xml:space="preserve">Figure 4. </w:t>
      </w:r>
      <w:r>
        <w:t>Two-dimensional PCA projection of the training set colored according to the proxy target class.</w:t>
      </w:r>
    </w:p>
    <w:p w14:paraId="07159734" w14:textId="77777777" w:rsidR="00000000" w:rsidRDefault="00000000">
      <w:pPr>
        <w:ind w:firstLine="993"/>
        <w:rPr>
          <w:b/>
          <w:bCs/>
        </w:rPr>
      </w:pPr>
      <w:r>
        <w:rPr>
          <w:lang w:val="es-PE" w:eastAsia="es-PE"/>
        </w:rPr>
        <w:pict w14:anchorId="285B83D1">
          <v:shape id="_x0000_i1033" type="#_x0000_t75" style="width:158.4pt;height:107.4pt" filled="t">
            <v:fill opacity="0" color2="black"/>
            <v:imagedata r:id="rId20" o:title="" croptop="-39f" cropbottom="-39f" cropleft="-13f" cropright="-26f"/>
          </v:shape>
        </w:pict>
      </w:r>
    </w:p>
    <w:p w14:paraId="62565911" w14:textId="77777777" w:rsidR="00000000" w:rsidRDefault="00000000">
      <w:pPr>
        <w:pStyle w:val="FigureCaption"/>
      </w:pPr>
      <w:r>
        <w:rPr>
          <w:b/>
          <w:bCs/>
        </w:rPr>
        <w:t>Figure 5.</w:t>
      </w:r>
      <w:r>
        <w:t xml:space="preserve"> Two-dimensional t-SNE representation of the feature space of the training set.</w:t>
      </w:r>
    </w:p>
    <w:p w14:paraId="25A3BD57" w14:textId="77777777" w:rsidR="00000000" w:rsidRDefault="00000000">
      <w:pPr>
        <w:ind w:firstLine="993"/>
        <w:rPr>
          <w:b/>
          <w:bCs/>
        </w:rPr>
      </w:pPr>
      <w:r>
        <w:rPr>
          <w:lang w:val="es-PE" w:eastAsia="es-PE"/>
        </w:rPr>
        <w:pict w14:anchorId="59DCA7A4">
          <v:shape id="_x0000_i1034" type="#_x0000_t75" style="width:156pt;height:105pt" filled="t">
            <v:fill opacity="0" color2="black"/>
            <v:imagedata r:id="rId21" o:title="" croptop="-39f" cropbottom="-39f" cropleft="-13f" cropright="-26f"/>
          </v:shape>
        </w:pict>
      </w:r>
    </w:p>
    <w:p w14:paraId="15A3761E" w14:textId="77777777" w:rsidR="00000000" w:rsidRDefault="00000000">
      <w:pPr>
        <w:pStyle w:val="FigureCaption"/>
      </w:pPr>
      <w:r>
        <w:rPr>
          <w:b/>
          <w:bCs/>
        </w:rPr>
        <w:t xml:space="preserve">Figure 6. </w:t>
      </w:r>
      <w:r>
        <w:t>Two-dimensional UMAP representation of the feature space of the training set.</w:t>
      </w:r>
    </w:p>
    <w:p w14:paraId="3AF729A0" w14:textId="77777777" w:rsidR="00000000" w:rsidRDefault="00000000">
      <w:pPr>
        <w:snapToGrid w:val="0"/>
        <w:ind w:firstLine="360"/>
        <w:jc w:val="both"/>
        <w:rPr>
          <w:b/>
          <w:bCs/>
        </w:rPr>
      </w:pPr>
      <w:r>
        <w:rPr>
          <w:rFonts w:ascii="Times New Roman" w:hAnsi="Times New Roman" w:cs="Times New Roman"/>
        </w:rPr>
        <w:t>The unsupervised validation (Table VII) corroborated this structure, with K-Means (</w:t>
      </w:r>
      <w:r>
        <w:rPr>
          <w:rFonts w:ascii="Times New Roman" w:hAnsi="Times New Roman" w:cs="Times New Roman"/>
          <w:i/>
          <w:iCs/>
        </w:rPr>
        <w:t>k</w:t>
      </w:r>
      <w:r>
        <w:rPr>
          <w:rFonts w:ascii="Times New Roman" w:hAnsi="Times New Roman" w:cs="Times New Roman"/>
        </w:rPr>
        <w:t xml:space="preserve"> = 7) providing the partition with the highest quality and stability compared with DBSCAN and Agglomerative clustering</w:t>
      </w:r>
      <w:r>
        <w:rPr>
          <w:rFonts w:ascii="Times New Roman" w:hAnsi="Times New Roman" w:cs="Times New Roman"/>
          <w:lang w:val="en-US"/>
        </w:rPr>
        <w:t>.</w:t>
      </w:r>
    </w:p>
    <w:p w14:paraId="3704B8F7" w14:textId="77777777" w:rsidR="00000000" w:rsidRDefault="00000000">
      <w:pPr>
        <w:pStyle w:val="TableCaption"/>
        <w:rPr>
          <w:b/>
          <w:bCs/>
          <w:lang w:val="es-PE"/>
        </w:rPr>
      </w:pPr>
      <w:r>
        <w:rPr>
          <w:b/>
          <w:bCs/>
        </w:rPr>
        <w:lastRenderedPageBreak/>
        <w:t xml:space="preserve">TABLE VII. </w:t>
      </w:r>
      <w:r>
        <w:t>SUMMARY OF THE UNSUPERVISED VALIDATION OF THE FEATURE SPACE</w:t>
      </w:r>
    </w:p>
    <w:tbl>
      <w:tblPr>
        <w:tblW w:w="0" w:type="auto"/>
        <w:tblLayout w:type="fixed"/>
        <w:tblLook w:val="0000" w:firstRow="0" w:lastRow="0" w:firstColumn="0" w:lastColumn="0" w:noHBand="0" w:noVBand="0"/>
      </w:tblPr>
      <w:tblGrid>
        <w:gridCol w:w="1477"/>
        <w:gridCol w:w="1835"/>
        <w:gridCol w:w="1944"/>
      </w:tblGrid>
      <w:tr w:rsidR="00000000" w14:paraId="33FAB15A" w14:textId="77777777">
        <w:trPr>
          <w:tblHeader/>
        </w:trPr>
        <w:tc>
          <w:tcPr>
            <w:tcW w:w="1477" w:type="dxa"/>
            <w:tcBorders>
              <w:bottom w:val="single" w:sz="4" w:space="0" w:color="000000"/>
            </w:tcBorders>
            <w:vAlign w:val="center"/>
          </w:tcPr>
          <w:p w14:paraId="4B38AD67" w14:textId="77777777" w:rsidR="00000000" w:rsidRDefault="00000000">
            <w:pPr>
              <w:snapToGrid w:val="0"/>
              <w:spacing w:before="36" w:after="36"/>
            </w:pPr>
            <w:r>
              <w:rPr>
                <w:rFonts w:ascii="Times New Roman" w:hAnsi="Times New Roman" w:cs="Times New Roman"/>
                <w:b/>
                <w:bCs/>
                <w:sz w:val="16"/>
                <w:szCs w:val="16"/>
                <w:lang w:val="es-PE"/>
              </w:rPr>
              <w:t>Analysis</w:t>
            </w:r>
          </w:p>
        </w:tc>
        <w:tc>
          <w:tcPr>
            <w:tcW w:w="1835" w:type="dxa"/>
            <w:tcBorders>
              <w:bottom w:val="single" w:sz="4" w:space="0" w:color="000000"/>
            </w:tcBorders>
            <w:vAlign w:val="center"/>
          </w:tcPr>
          <w:p w14:paraId="586121CE" w14:textId="77777777" w:rsidR="00000000" w:rsidRDefault="00000000">
            <w:pPr>
              <w:snapToGrid w:val="0"/>
              <w:spacing w:before="36" w:after="36"/>
            </w:pPr>
            <w:r>
              <w:rPr>
                <w:rFonts w:ascii="Times New Roman" w:hAnsi="Times New Roman" w:cs="Times New Roman"/>
                <w:b/>
                <w:bCs/>
                <w:sz w:val="16"/>
                <w:szCs w:val="16"/>
                <w:lang w:val="es-PE"/>
              </w:rPr>
              <w:t>Evidence</w:t>
            </w:r>
          </w:p>
        </w:tc>
        <w:tc>
          <w:tcPr>
            <w:tcW w:w="1944" w:type="dxa"/>
            <w:tcBorders>
              <w:bottom w:val="single" w:sz="4" w:space="0" w:color="000000"/>
            </w:tcBorders>
            <w:vAlign w:val="center"/>
          </w:tcPr>
          <w:p w14:paraId="215AD06D" w14:textId="77777777" w:rsidR="00000000" w:rsidRDefault="00000000">
            <w:pPr>
              <w:snapToGrid w:val="0"/>
              <w:spacing w:before="36" w:after="36"/>
            </w:pPr>
            <w:r>
              <w:rPr>
                <w:rFonts w:ascii="Times New Roman" w:hAnsi="Times New Roman" w:cs="Times New Roman"/>
                <w:b/>
                <w:bCs/>
                <w:sz w:val="16"/>
                <w:szCs w:val="16"/>
                <w:lang w:val="es-PE"/>
              </w:rPr>
              <w:t>Result + Interpretation</w:t>
            </w:r>
          </w:p>
        </w:tc>
      </w:tr>
      <w:tr w:rsidR="00000000" w14:paraId="3AF27FC4" w14:textId="77777777">
        <w:tc>
          <w:tcPr>
            <w:tcW w:w="1477" w:type="dxa"/>
            <w:vAlign w:val="center"/>
          </w:tcPr>
          <w:p w14:paraId="337295AC" w14:textId="77777777" w:rsidR="00000000" w:rsidRDefault="00000000">
            <w:pPr>
              <w:snapToGrid w:val="0"/>
              <w:spacing w:before="20" w:after="20"/>
            </w:pPr>
            <w:r>
              <w:rPr>
                <w:rFonts w:ascii="Times New Roman" w:hAnsi="Times New Roman" w:cs="Times New Roman"/>
                <w:sz w:val="16"/>
                <w:szCs w:val="16"/>
                <w:lang w:val="es-PE"/>
              </w:rPr>
              <w:t>PCA (2 Components)</w:t>
            </w:r>
          </w:p>
        </w:tc>
        <w:tc>
          <w:tcPr>
            <w:tcW w:w="1835" w:type="dxa"/>
            <w:vAlign w:val="center"/>
          </w:tcPr>
          <w:p w14:paraId="4DE4C85E" w14:textId="77777777" w:rsidR="00000000" w:rsidRDefault="00000000">
            <w:pPr>
              <w:snapToGrid w:val="0"/>
              <w:spacing w:before="20" w:after="20"/>
            </w:pPr>
            <w:r>
              <w:rPr>
                <w:rFonts w:ascii="Times New Roman" w:hAnsi="Times New Roman" w:cs="Times New Roman"/>
                <w:sz w:val="16"/>
                <w:szCs w:val="16"/>
                <w:lang w:val="es-PE"/>
              </w:rPr>
              <w:t>Fig. 4</w:t>
            </w:r>
          </w:p>
        </w:tc>
        <w:tc>
          <w:tcPr>
            <w:tcW w:w="1944" w:type="dxa"/>
            <w:vAlign w:val="center"/>
          </w:tcPr>
          <w:p w14:paraId="5CE792AB" w14:textId="77777777" w:rsidR="00000000" w:rsidRDefault="00000000">
            <w:pPr>
              <w:snapToGrid w:val="0"/>
              <w:spacing w:before="20" w:after="20"/>
            </w:pPr>
            <w:r>
              <w:rPr>
                <w:rFonts w:ascii="Times New Roman" w:hAnsi="Times New Roman" w:cs="Times New Roman"/>
                <w:sz w:val="16"/>
                <w:szCs w:val="16"/>
                <w:lang w:val="en-US"/>
              </w:rPr>
              <w:t>Global organization; partial nonlinear separation</w:t>
            </w:r>
          </w:p>
        </w:tc>
      </w:tr>
      <w:tr w:rsidR="00000000" w14:paraId="69FAE7DE" w14:textId="77777777">
        <w:tc>
          <w:tcPr>
            <w:tcW w:w="1477" w:type="dxa"/>
            <w:vAlign w:val="center"/>
          </w:tcPr>
          <w:p w14:paraId="041C4D49" w14:textId="77777777" w:rsidR="00000000" w:rsidRDefault="00000000">
            <w:pPr>
              <w:snapToGrid w:val="0"/>
              <w:spacing w:before="20" w:after="20"/>
            </w:pPr>
            <w:r>
              <w:rPr>
                <w:rFonts w:ascii="Times New Roman" w:hAnsi="Times New Roman" w:cs="Times New Roman"/>
                <w:sz w:val="16"/>
                <w:szCs w:val="16"/>
                <w:lang w:val="es-PE"/>
              </w:rPr>
              <w:t>t-SNE</w:t>
            </w:r>
          </w:p>
        </w:tc>
        <w:tc>
          <w:tcPr>
            <w:tcW w:w="1835" w:type="dxa"/>
            <w:vAlign w:val="center"/>
          </w:tcPr>
          <w:p w14:paraId="4CCD9D25" w14:textId="77777777" w:rsidR="00000000" w:rsidRDefault="00000000">
            <w:pPr>
              <w:snapToGrid w:val="0"/>
              <w:spacing w:before="20" w:after="20"/>
            </w:pPr>
            <w:r>
              <w:rPr>
                <w:rFonts w:ascii="Times New Roman" w:hAnsi="Times New Roman" w:cs="Times New Roman"/>
                <w:sz w:val="16"/>
                <w:szCs w:val="16"/>
                <w:lang w:val="es-PE"/>
              </w:rPr>
              <w:t>Fig. 5</w:t>
            </w:r>
          </w:p>
        </w:tc>
        <w:tc>
          <w:tcPr>
            <w:tcW w:w="1944" w:type="dxa"/>
            <w:vAlign w:val="center"/>
          </w:tcPr>
          <w:p w14:paraId="0712740E" w14:textId="77777777" w:rsidR="00000000" w:rsidRDefault="00000000">
            <w:pPr>
              <w:snapToGrid w:val="0"/>
              <w:spacing w:before="20" w:after="20"/>
            </w:pPr>
            <w:r>
              <w:rPr>
                <w:rFonts w:ascii="Times New Roman" w:hAnsi="Times New Roman" w:cs="Times New Roman"/>
                <w:sz w:val="16"/>
                <w:szCs w:val="16"/>
                <w:lang w:val="en-US"/>
              </w:rPr>
              <w:t>Compact local clusters; nonlinear relationships</w:t>
            </w:r>
          </w:p>
        </w:tc>
      </w:tr>
      <w:tr w:rsidR="00000000" w14:paraId="761B0D74" w14:textId="77777777">
        <w:tc>
          <w:tcPr>
            <w:tcW w:w="1477" w:type="dxa"/>
            <w:vAlign w:val="center"/>
          </w:tcPr>
          <w:p w14:paraId="599E24FC" w14:textId="77777777" w:rsidR="00000000" w:rsidRDefault="00000000">
            <w:pPr>
              <w:snapToGrid w:val="0"/>
              <w:spacing w:before="20" w:after="20"/>
            </w:pPr>
            <w:r>
              <w:rPr>
                <w:rFonts w:ascii="Times New Roman" w:hAnsi="Times New Roman" w:cs="Times New Roman"/>
                <w:sz w:val="16"/>
                <w:szCs w:val="16"/>
                <w:lang w:val="es-PE"/>
              </w:rPr>
              <w:t>UMAP</w:t>
            </w:r>
          </w:p>
        </w:tc>
        <w:tc>
          <w:tcPr>
            <w:tcW w:w="1835" w:type="dxa"/>
            <w:vAlign w:val="center"/>
          </w:tcPr>
          <w:p w14:paraId="22FDC29F" w14:textId="77777777" w:rsidR="00000000" w:rsidRDefault="00000000">
            <w:pPr>
              <w:snapToGrid w:val="0"/>
              <w:spacing w:before="20" w:after="20"/>
            </w:pPr>
            <w:r>
              <w:rPr>
                <w:rFonts w:ascii="Times New Roman" w:hAnsi="Times New Roman" w:cs="Times New Roman"/>
                <w:sz w:val="16"/>
                <w:szCs w:val="16"/>
                <w:lang w:val="es-PE"/>
              </w:rPr>
              <w:t>Fig. 6</w:t>
            </w:r>
          </w:p>
        </w:tc>
        <w:tc>
          <w:tcPr>
            <w:tcW w:w="1944" w:type="dxa"/>
            <w:vAlign w:val="center"/>
          </w:tcPr>
          <w:p w14:paraId="7C2016E3" w14:textId="77777777" w:rsidR="00000000" w:rsidRDefault="00000000">
            <w:pPr>
              <w:snapToGrid w:val="0"/>
              <w:spacing w:before="20" w:after="20"/>
            </w:pPr>
            <w:r>
              <w:rPr>
                <w:rFonts w:ascii="Times New Roman" w:hAnsi="Times New Roman" w:cs="Times New Roman"/>
                <w:sz w:val="16"/>
                <w:szCs w:val="16"/>
                <w:lang w:val="en-US"/>
              </w:rPr>
              <w:t>Stable structure; consistent multivariate patterns</w:t>
            </w:r>
          </w:p>
        </w:tc>
      </w:tr>
      <w:tr w:rsidR="00000000" w14:paraId="49602888" w14:textId="77777777">
        <w:tc>
          <w:tcPr>
            <w:tcW w:w="1477" w:type="dxa"/>
            <w:vAlign w:val="center"/>
          </w:tcPr>
          <w:p w14:paraId="06E01940" w14:textId="77777777" w:rsidR="00000000" w:rsidRDefault="00000000">
            <w:pPr>
              <w:snapToGrid w:val="0"/>
              <w:spacing w:before="20" w:after="20"/>
            </w:pPr>
            <w:r>
              <w:rPr>
                <w:rFonts w:ascii="Times New Roman" w:hAnsi="Times New Roman" w:cs="Times New Roman"/>
                <w:sz w:val="16"/>
                <w:szCs w:val="16"/>
                <w:lang w:val="es-PE"/>
              </w:rPr>
              <w:t>K-Means</w:t>
            </w:r>
          </w:p>
        </w:tc>
        <w:tc>
          <w:tcPr>
            <w:tcW w:w="1835" w:type="dxa"/>
            <w:vAlign w:val="center"/>
          </w:tcPr>
          <w:p w14:paraId="5E355456" w14:textId="77777777" w:rsidR="00000000" w:rsidRDefault="00000000">
            <w:pPr>
              <w:snapToGrid w:val="0"/>
              <w:spacing w:before="20" w:after="20"/>
            </w:pPr>
            <w:r>
              <w:rPr>
                <w:rFonts w:ascii="Times New Roman" w:hAnsi="Times New Roman" w:cs="Times New Roman"/>
                <w:sz w:val="16"/>
                <w:szCs w:val="16"/>
                <w:lang w:val="es-PE"/>
              </w:rPr>
              <w:t>Silh = 0.262; DB = 1.507; CH = 1173.6; ARI = 0.77 ± 0.13</w:t>
            </w:r>
          </w:p>
        </w:tc>
        <w:tc>
          <w:tcPr>
            <w:tcW w:w="1944" w:type="dxa"/>
            <w:vAlign w:val="center"/>
          </w:tcPr>
          <w:p w14:paraId="3EF147E6" w14:textId="77777777" w:rsidR="00000000" w:rsidRDefault="00000000">
            <w:pPr>
              <w:snapToGrid w:val="0"/>
              <w:spacing w:before="20" w:after="20"/>
            </w:pPr>
            <w:r>
              <w:rPr>
                <w:rFonts w:ascii="Times New Roman" w:hAnsi="Times New Roman" w:cs="Times New Roman"/>
                <w:sz w:val="16"/>
                <w:szCs w:val="16"/>
                <w:lang w:val="en-US"/>
              </w:rPr>
              <w:t>Optimal (K = 7); robustness confirmed by bootstrap</w:t>
            </w:r>
          </w:p>
        </w:tc>
      </w:tr>
      <w:tr w:rsidR="00000000" w14:paraId="1C2069EF" w14:textId="77777777">
        <w:tc>
          <w:tcPr>
            <w:tcW w:w="1477" w:type="dxa"/>
            <w:vAlign w:val="center"/>
          </w:tcPr>
          <w:p w14:paraId="08FFCB6B" w14:textId="77777777" w:rsidR="00000000" w:rsidRDefault="00000000">
            <w:pPr>
              <w:snapToGrid w:val="0"/>
              <w:spacing w:before="20" w:after="20"/>
            </w:pPr>
            <w:r>
              <w:rPr>
                <w:rFonts w:ascii="Times New Roman" w:hAnsi="Times New Roman" w:cs="Times New Roman"/>
                <w:sz w:val="16"/>
                <w:szCs w:val="16"/>
                <w:lang w:val="es-PE"/>
              </w:rPr>
              <w:t>DBSCAN</w:t>
            </w:r>
          </w:p>
        </w:tc>
        <w:tc>
          <w:tcPr>
            <w:tcW w:w="1835" w:type="dxa"/>
            <w:vAlign w:val="center"/>
          </w:tcPr>
          <w:p w14:paraId="582B6B76" w14:textId="77777777" w:rsidR="00000000" w:rsidRDefault="00000000">
            <w:pPr>
              <w:snapToGrid w:val="0"/>
              <w:spacing w:before="20" w:after="20"/>
            </w:pPr>
            <w:r>
              <w:rPr>
                <w:rFonts w:ascii="Times New Roman" w:hAnsi="Times New Roman" w:cs="Times New Roman"/>
                <w:sz w:val="16"/>
                <w:szCs w:val="16"/>
                <w:lang w:val="es-PE"/>
              </w:rPr>
              <w:t>46 clusters; Silh = 0.161; DB = 1.310; CH = 245.9</w:t>
            </w:r>
          </w:p>
        </w:tc>
        <w:tc>
          <w:tcPr>
            <w:tcW w:w="1944" w:type="dxa"/>
            <w:vAlign w:val="center"/>
          </w:tcPr>
          <w:p w14:paraId="14C6726D" w14:textId="77777777" w:rsidR="00000000" w:rsidRDefault="00000000">
            <w:pPr>
              <w:snapToGrid w:val="0"/>
              <w:spacing w:before="20" w:after="20"/>
            </w:pPr>
            <w:r>
              <w:rPr>
                <w:rFonts w:ascii="Times New Roman" w:hAnsi="Times New Roman" w:cs="Times New Roman"/>
                <w:sz w:val="16"/>
                <w:szCs w:val="16"/>
                <w:lang w:val="en-US"/>
              </w:rPr>
              <w:t>Exploratory; fragmented partition with lower quality</w:t>
            </w:r>
          </w:p>
        </w:tc>
      </w:tr>
      <w:tr w:rsidR="00000000" w14:paraId="30584331" w14:textId="77777777">
        <w:tc>
          <w:tcPr>
            <w:tcW w:w="1477" w:type="dxa"/>
            <w:vAlign w:val="center"/>
          </w:tcPr>
          <w:p w14:paraId="228CC15B" w14:textId="77777777" w:rsidR="00000000" w:rsidRDefault="00000000">
            <w:pPr>
              <w:snapToGrid w:val="0"/>
              <w:spacing w:before="20" w:after="20"/>
            </w:pPr>
            <w:r>
              <w:rPr>
                <w:rFonts w:ascii="Times New Roman" w:hAnsi="Times New Roman" w:cs="Times New Roman"/>
                <w:sz w:val="16"/>
                <w:szCs w:val="16"/>
                <w:lang w:val="es-PE"/>
              </w:rPr>
              <w:t>Agglomerative Clustering</w:t>
            </w:r>
          </w:p>
        </w:tc>
        <w:tc>
          <w:tcPr>
            <w:tcW w:w="1835" w:type="dxa"/>
            <w:vAlign w:val="center"/>
          </w:tcPr>
          <w:p w14:paraId="0CE27722" w14:textId="77777777" w:rsidR="00000000" w:rsidRDefault="00000000">
            <w:pPr>
              <w:snapToGrid w:val="0"/>
              <w:spacing w:before="20" w:after="20"/>
            </w:pPr>
            <w:r>
              <w:rPr>
                <w:rFonts w:ascii="Times New Roman" w:hAnsi="Times New Roman" w:cs="Times New Roman"/>
                <w:sz w:val="16"/>
                <w:szCs w:val="16"/>
                <w:lang w:val="es-PE"/>
              </w:rPr>
              <w:t>Silh = 0.250 ((k = 5)); DB = 1.573; CH = 1273.8</w:t>
            </w:r>
          </w:p>
        </w:tc>
        <w:tc>
          <w:tcPr>
            <w:tcW w:w="1944" w:type="dxa"/>
            <w:vAlign w:val="center"/>
          </w:tcPr>
          <w:p w14:paraId="67011A3B" w14:textId="77777777" w:rsidR="00000000" w:rsidRDefault="00000000">
            <w:pPr>
              <w:snapToGrid w:val="0"/>
              <w:spacing w:before="20" w:after="20"/>
            </w:pPr>
            <w:r>
              <w:rPr>
                <w:rFonts w:ascii="Times New Roman" w:hAnsi="Times New Roman" w:cs="Times New Roman"/>
                <w:sz w:val="16"/>
                <w:szCs w:val="16"/>
                <w:lang w:val="en-US"/>
              </w:rPr>
              <w:t>Exploratory; lower quality than K-Means</w:t>
            </w:r>
          </w:p>
        </w:tc>
      </w:tr>
      <w:tr w:rsidR="00000000" w14:paraId="31E0A80A" w14:textId="77777777">
        <w:tc>
          <w:tcPr>
            <w:tcW w:w="1477" w:type="dxa"/>
            <w:vAlign w:val="center"/>
          </w:tcPr>
          <w:p w14:paraId="45168F02" w14:textId="77777777" w:rsidR="00000000" w:rsidRDefault="00000000">
            <w:pPr>
              <w:snapToGrid w:val="0"/>
              <w:spacing w:before="20" w:after="20"/>
            </w:pPr>
            <w:r>
              <w:rPr>
                <w:rFonts w:ascii="Times New Roman" w:hAnsi="Times New Roman" w:cs="Times New Roman"/>
                <w:sz w:val="16"/>
                <w:szCs w:val="16"/>
                <w:lang w:val="es-PE"/>
              </w:rPr>
              <w:t>Isolation Forest</w:t>
            </w:r>
          </w:p>
        </w:tc>
        <w:tc>
          <w:tcPr>
            <w:tcW w:w="1835" w:type="dxa"/>
            <w:vAlign w:val="center"/>
          </w:tcPr>
          <w:p w14:paraId="0D792243" w14:textId="77777777" w:rsidR="00000000" w:rsidRDefault="00000000">
            <w:pPr>
              <w:snapToGrid w:val="0"/>
              <w:spacing w:before="20" w:after="20"/>
            </w:pPr>
            <w:r>
              <w:rPr>
                <w:rFonts w:ascii="Times New Roman" w:hAnsi="Times New Roman" w:cs="Times New Roman"/>
                <w:sz w:val="16"/>
                <w:szCs w:val="16"/>
                <w:lang w:val="es-PE"/>
              </w:rPr>
              <w:t>51/6076 (0.84%)</w:t>
            </w:r>
          </w:p>
        </w:tc>
        <w:tc>
          <w:tcPr>
            <w:tcW w:w="1944" w:type="dxa"/>
            <w:vAlign w:val="center"/>
          </w:tcPr>
          <w:p w14:paraId="7B241258" w14:textId="77777777" w:rsidR="00000000" w:rsidRDefault="00000000">
            <w:pPr>
              <w:snapToGrid w:val="0"/>
              <w:spacing w:before="20" w:after="20"/>
            </w:pPr>
            <w:r>
              <w:rPr>
                <w:rFonts w:ascii="Times New Roman" w:hAnsi="Times New Roman" w:cs="Times New Roman"/>
                <w:sz w:val="16"/>
                <w:szCs w:val="16"/>
                <w:lang w:val="en-US"/>
              </w:rPr>
              <w:t>Low proportion; no large-scale anomalies</w:t>
            </w:r>
          </w:p>
        </w:tc>
      </w:tr>
      <w:tr w:rsidR="00000000" w14:paraId="7E74B999" w14:textId="77777777">
        <w:tc>
          <w:tcPr>
            <w:tcW w:w="1477" w:type="dxa"/>
            <w:vAlign w:val="center"/>
          </w:tcPr>
          <w:p w14:paraId="129B5B08" w14:textId="77777777" w:rsidR="00000000" w:rsidRDefault="00000000">
            <w:pPr>
              <w:snapToGrid w:val="0"/>
              <w:spacing w:before="20" w:after="20"/>
            </w:pPr>
            <w:r>
              <w:rPr>
                <w:rFonts w:ascii="Times New Roman" w:hAnsi="Times New Roman" w:cs="Times New Roman"/>
                <w:sz w:val="16"/>
                <w:szCs w:val="16"/>
                <w:lang w:val="es-PE"/>
              </w:rPr>
              <w:t>Local Outlier Factor</w:t>
            </w:r>
          </w:p>
        </w:tc>
        <w:tc>
          <w:tcPr>
            <w:tcW w:w="1835" w:type="dxa"/>
            <w:vAlign w:val="center"/>
          </w:tcPr>
          <w:p w14:paraId="6CFFFBC0" w14:textId="77777777" w:rsidR="00000000" w:rsidRDefault="00000000">
            <w:pPr>
              <w:snapToGrid w:val="0"/>
              <w:spacing w:before="20" w:after="20"/>
            </w:pPr>
            <w:r>
              <w:rPr>
                <w:rFonts w:ascii="Times New Roman" w:hAnsi="Times New Roman" w:cs="Times New Roman"/>
                <w:sz w:val="16"/>
                <w:szCs w:val="16"/>
                <w:lang w:val="es-PE"/>
              </w:rPr>
              <w:t>54/6076 (0.89%)</w:t>
            </w:r>
          </w:p>
        </w:tc>
        <w:tc>
          <w:tcPr>
            <w:tcW w:w="1944" w:type="dxa"/>
            <w:vAlign w:val="center"/>
          </w:tcPr>
          <w:p w14:paraId="3369D748" w14:textId="77777777" w:rsidR="00000000" w:rsidRDefault="00000000">
            <w:pPr>
              <w:snapToGrid w:val="0"/>
              <w:spacing w:before="20" w:after="20"/>
            </w:pPr>
            <w:r>
              <w:rPr>
                <w:rFonts w:ascii="Times New Roman" w:hAnsi="Times New Roman" w:cs="Times New Roman"/>
                <w:sz w:val="16"/>
                <w:szCs w:val="16"/>
                <w:lang w:val="en-US"/>
              </w:rPr>
              <w:t>Consistent with the training set</w:t>
            </w:r>
          </w:p>
        </w:tc>
      </w:tr>
      <w:tr w:rsidR="00000000" w14:paraId="1D2D1719" w14:textId="77777777">
        <w:tc>
          <w:tcPr>
            <w:tcW w:w="1477" w:type="dxa"/>
            <w:vAlign w:val="center"/>
          </w:tcPr>
          <w:p w14:paraId="5F01179E" w14:textId="77777777" w:rsidR="00000000" w:rsidRDefault="00000000">
            <w:pPr>
              <w:snapToGrid w:val="0"/>
              <w:spacing w:before="20" w:after="20"/>
            </w:pPr>
            <w:r>
              <w:rPr>
                <w:rFonts w:ascii="Times New Roman" w:hAnsi="Times New Roman" w:cs="Times New Roman"/>
                <w:sz w:val="16"/>
                <w:szCs w:val="16"/>
                <w:lang w:val="es-PE"/>
              </w:rPr>
              <w:t>Robust Mahalanobis Distance</w:t>
            </w:r>
          </w:p>
        </w:tc>
        <w:tc>
          <w:tcPr>
            <w:tcW w:w="1835" w:type="dxa"/>
            <w:vAlign w:val="center"/>
          </w:tcPr>
          <w:p w14:paraId="47F3FE1C" w14:textId="77777777" w:rsidR="00000000" w:rsidRDefault="00000000">
            <w:pPr>
              <w:snapToGrid w:val="0"/>
              <w:spacing w:before="20" w:after="20"/>
            </w:pPr>
            <w:r>
              <w:rPr>
                <w:rFonts w:ascii="Times New Roman" w:hAnsi="Times New Roman" w:cs="Times New Roman"/>
                <w:sz w:val="16"/>
                <w:szCs w:val="16"/>
                <w:lang w:val="es-PE"/>
              </w:rPr>
              <w:t>152/6076 (2.50%)</w:t>
            </w:r>
          </w:p>
        </w:tc>
        <w:tc>
          <w:tcPr>
            <w:tcW w:w="1944" w:type="dxa"/>
            <w:vAlign w:val="center"/>
          </w:tcPr>
          <w:p w14:paraId="76685FB8" w14:textId="77777777" w:rsidR="00000000" w:rsidRDefault="00000000">
            <w:pPr>
              <w:snapToGrid w:val="0"/>
              <w:spacing w:before="20" w:after="20"/>
            </w:pPr>
            <w:r>
              <w:rPr>
                <w:rFonts w:ascii="Times New Roman" w:hAnsi="Times New Roman" w:cs="Times New Roman"/>
                <w:sz w:val="16"/>
                <w:szCs w:val="16"/>
                <w:lang w:val="es-PE"/>
              </w:rPr>
              <w:t>No extreme outliers</w:t>
            </w:r>
          </w:p>
        </w:tc>
      </w:tr>
    </w:tbl>
    <w:p w14:paraId="65DBDA4B" w14:textId="77777777" w:rsidR="00000000" w:rsidRDefault="00000000">
      <w:pPr>
        <w:pStyle w:val="Ttulo2"/>
      </w:pPr>
      <w:r>
        <w:t>D. Experimental Design</w:t>
      </w:r>
    </w:p>
    <w:p w14:paraId="3E5262A3" w14:textId="77777777" w:rsidR="00000000" w:rsidRDefault="00000000">
      <w:pPr>
        <w:snapToGrid w:val="0"/>
        <w:ind w:firstLine="360"/>
        <w:jc w:val="both"/>
        <w:rPr>
          <w:rFonts w:ascii="Times New Roman" w:hAnsi="Times New Roman" w:cs="Times New Roman"/>
          <w:lang w:val="en-US"/>
        </w:rPr>
      </w:pPr>
      <w:r>
        <w:rPr>
          <w:rFonts w:ascii="Times New Roman" w:hAnsi="Times New Roman" w:cs="Times New Roman"/>
          <w:lang w:val="en-US"/>
        </w:rPr>
        <w:t>The methodological workflow of the experimental design is illustrated in Figure 7 and described throughout this section.</w:t>
      </w:r>
    </w:p>
    <w:p w14:paraId="799ED690" w14:textId="77777777" w:rsidR="00000000" w:rsidRDefault="00000000">
      <w:pPr>
        <w:snapToGrid w:val="0"/>
        <w:ind w:firstLine="360"/>
        <w:jc w:val="both"/>
        <w:rPr>
          <w:rFonts w:ascii="Times New Roman" w:hAnsi="Times New Roman" w:cs="Times New Roman"/>
          <w:lang w:val="en-US"/>
        </w:rPr>
      </w:pPr>
    </w:p>
    <w:p w14:paraId="5D9A39DD" w14:textId="77777777" w:rsidR="00000000" w:rsidRDefault="00000000">
      <w:pPr>
        <w:snapToGrid w:val="0"/>
        <w:ind w:firstLine="709"/>
        <w:jc w:val="both"/>
        <w:rPr>
          <w:b/>
          <w:bCs/>
        </w:rPr>
      </w:pPr>
      <w:r>
        <w:rPr>
          <w:lang w:val="es-PE" w:eastAsia="es-PE"/>
        </w:rPr>
        <w:pict w14:anchorId="011819B2">
          <v:shape id="_x0000_i1035" type="#_x0000_t75" style="width:195pt;height:69.6pt" filled="t">
            <v:fill opacity="0" color2="black"/>
            <v:imagedata r:id="rId22" o:title="" croptop="-22f" cropbottom="-22f" cropleft="-5f" cropright="-10f"/>
          </v:shape>
        </w:pict>
      </w:r>
    </w:p>
    <w:p w14:paraId="00AAAE54" w14:textId="77777777" w:rsidR="00000000" w:rsidRDefault="00000000">
      <w:pPr>
        <w:pStyle w:val="FigureCaption"/>
      </w:pPr>
      <w:r>
        <w:rPr>
          <w:b/>
          <w:bCs/>
        </w:rPr>
        <w:t>Figure 7.</w:t>
      </w:r>
      <w:r>
        <w:t xml:space="preserve"> Experimental design for model training and temporal validation.</w:t>
      </w:r>
    </w:p>
    <w:p w14:paraId="2EEE743B" w14:textId="77777777" w:rsidR="00000000" w:rsidRDefault="00000000">
      <w:pPr>
        <w:pStyle w:val="Ttulo3"/>
        <w:ind w:firstLine="0"/>
        <w:rPr>
          <w:rFonts w:ascii="Times New Roman" w:hAnsi="Times New Roman" w:cs="Times New Roman"/>
        </w:rPr>
      </w:pPr>
      <w:r>
        <w:t>1) Temporal Data Partitioning</w:t>
      </w:r>
    </w:p>
    <w:p w14:paraId="0CEDB941" w14:textId="77777777" w:rsidR="00000000" w:rsidRDefault="00000000">
      <w:pPr>
        <w:snapToGrid w:val="0"/>
        <w:ind w:firstLine="360"/>
        <w:jc w:val="both"/>
        <w:rPr>
          <w:rFonts w:ascii="Times New Roman" w:hAnsi="Times New Roman" w:cs="Times New Roman"/>
          <w:lang w:val="en-US"/>
        </w:rPr>
      </w:pPr>
      <w:r>
        <w:rPr>
          <w:rFonts w:ascii="Times New Roman" w:hAnsi="Times New Roman" w:cs="Times New Roman"/>
          <w:lang w:val="en-US"/>
        </w:rPr>
        <w:t>The experimental design replaces conventional random cross-validation with a cumulative chronological strategy based on annual blocks (year-block walk-forward validation).</w:t>
      </w:r>
    </w:p>
    <w:p w14:paraId="16E8ABF9" w14:textId="77777777" w:rsidR="00000000" w:rsidRDefault="00000000">
      <w:pPr>
        <w:snapToGrid w:val="0"/>
        <w:ind w:firstLine="360"/>
        <w:jc w:val="both"/>
        <w:rPr>
          <w:rFonts w:ascii="Times New Roman" w:hAnsi="Times New Roman" w:cs="Times New Roman"/>
          <w:lang w:val="en-US"/>
        </w:rPr>
      </w:pPr>
      <w:r>
        <w:rPr>
          <w:rFonts w:ascii="Times New Roman" w:hAnsi="Times New Roman" w:cs="Times New Roman"/>
          <w:lang w:val="en-US"/>
        </w:rPr>
        <w:t>Within the primary training block (2019–2023), sequential folds are organized chronologically. At each iteration, the model is trained exclusively using data from periods preceding the year under internal evaluation.</w:t>
      </w:r>
    </w:p>
    <w:p w14:paraId="771A37DF" w14:textId="77777777" w:rsidR="00000000" w:rsidRDefault="00000000">
      <w:pPr>
        <w:snapToGrid w:val="0"/>
        <w:ind w:firstLine="360"/>
        <w:jc w:val="both"/>
      </w:pPr>
      <w:r>
        <w:rPr>
          <w:rFonts w:ascii="Times New Roman" w:hAnsi="Times New Roman" w:cs="Times New Roman"/>
          <w:lang w:val="en-US"/>
        </w:rPr>
        <w:t>Externally, the 2024 period was isolated as the validation and calibration set (for classifier selection and optimal threshold determination); the 2025 observations were reserved as the final hold-out test set; and the partial 2026 segment was used as an independent prospective evaluation set. None of these three temporal horizons participated in the hyperparameter optimization process.</w:t>
      </w:r>
    </w:p>
    <w:p w14:paraId="43DE6859" w14:textId="77777777" w:rsidR="00000000" w:rsidRDefault="00000000">
      <w:pPr>
        <w:pStyle w:val="Ttulo3"/>
        <w:ind w:firstLine="0"/>
        <w:rPr>
          <w:rFonts w:ascii="Times New Roman" w:hAnsi="Times New Roman" w:cs="Times New Roman"/>
        </w:rPr>
      </w:pPr>
      <w:r>
        <w:t>2) Model Configurations</w:t>
      </w:r>
    </w:p>
    <w:p w14:paraId="46560A01" w14:textId="77777777" w:rsidR="00000000" w:rsidRDefault="00000000">
      <w:pPr>
        <w:snapToGrid w:val="0"/>
        <w:ind w:firstLine="360"/>
        <w:jc w:val="both"/>
        <w:rPr>
          <w:b/>
          <w:bCs/>
        </w:rPr>
      </w:pPr>
      <w:r>
        <w:rPr>
          <w:rFonts w:ascii="Times New Roman" w:hAnsi="Times New Roman" w:cs="Times New Roman"/>
          <w:lang w:val="en-US"/>
        </w:rPr>
        <w:t xml:space="preserve">Nine algorithmic configurations were evaluated (Table VIII), including one baseline classifier, two linear/margin-based models (SVM calibrated using </w:t>
      </w:r>
      <w:r>
        <w:rPr>
          <w:rFonts w:ascii="Times New Roman" w:hAnsi="Times New Roman" w:cs="Times New Roman"/>
          <w:i/>
          <w:iCs/>
          <w:lang w:val="en-US"/>
        </w:rPr>
        <w:t>CalibratedClassifierCV</w:t>
      </w:r>
      <w:r>
        <w:rPr>
          <w:rFonts w:ascii="Times New Roman" w:hAnsi="Times New Roman" w:cs="Times New Roman"/>
          <w:lang w:val="en-US"/>
        </w:rPr>
        <w:t xml:space="preserve">), three gradient boosting architectures, one Bayesian-optimized </w:t>
      </w:r>
      <w:r>
        <w:rPr>
          <w:rFonts w:ascii="Times New Roman" w:hAnsi="Times New Roman" w:cs="Times New Roman"/>
          <w:lang w:val="en-US"/>
        </w:rPr>
        <w:t>LightGBM variant, and two ensemble meta-models (Section III.D.2).</w:t>
      </w:r>
    </w:p>
    <w:p w14:paraId="6DCAA2E0" w14:textId="77777777" w:rsidR="00000000" w:rsidRDefault="00000000">
      <w:pPr>
        <w:pStyle w:val="TableCaption"/>
        <w:rPr>
          <w:b/>
          <w:bCs/>
          <w:lang w:val="es-PE"/>
        </w:rPr>
      </w:pPr>
      <w:r>
        <w:rPr>
          <w:b/>
          <w:bCs/>
        </w:rPr>
        <w:t>TABLE VIII.</w:t>
      </w:r>
      <w:r>
        <w:t xml:space="preserve"> MODEL CONFIGURATIONS EVALUATED (HYPERPARAMETER SEARCH)</w:t>
      </w:r>
    </w:p>
    <w:tbl>
      <w:tblPr>
        <w:tblW w:w="0" w:type="auto"/>
        <w:tblInd w:w="-30" w:type="dxa"/>
        <w:tblLayout w:type="fixed"/>
        <w:tblCellMar>
          <w:top w:w="15" w:type="dxa"/>
          <w:left w:w="15" w:type="dxa"/>
          <w:bottom w:w="15" w:type="dxa"/>
          <w:right w:w="15" w:type="dxa"/>
        </w:tblCellMar>
        <w:tblLook w:val="0000" w:firstRow="0" w:lastRow="0" w:firstColumn="0" w:lastColumn="0" w:noHBand="0" w:noVBand="0"/>
      </w:tblPr>
      <w:tblGrid>
        <w:gridCol w:w="1466"/>
        <w:gridCol w:w="2281"/>
        <w:gridCol w:w="948"/>
        <w:gridCol w:w="435"/>
      </w:tblGrid>
      <w:tr w:rsidR="00000000" w14:paraId="534EF981" w14:textId="77777777">
        <w:trPr>
          <w:tblHeader/>
        </w:trPr>
        <w:tc>
          <w:tcPr>
            <w:tcW w:w="1466" w:type="dxa"/>
            <w:tcBorders>
              <w:bottom w:val="single" w:sz="4" w:space="0" w:color="000000"/>
            </w:tcBorders>
            <w:vAlign w:val="center"/>
          </w:tcPr>
          <w:p w14:paraId="11D75567" w14:textId="77777777" w:rsidR="00000000" w:rsidRDefault="00000000">
            <w:pPr>
              <w:pStyle w:val="Notetable"/>
              <w:spacing w:before="26" w:after="26"/>
              <w:jc w:val="left"/>
            </w:pPr>
            <w:r>
              <w:rPr>
                <w:b/>
                <w:bCs/>
                <w:lang w:val="es-PE"/>
              </w:rPr>
              <w:t>Model</w:t>
            </w:r>
          </w:p>
        </w:tc>
        <w:tc>
          <w:tcPr>
            <w:tcW w:w="2281" w:type="dxa"/>
            <w:tcBorders>
              <w:bottom w:val="single" w:sz="4" w:space="0" w:color="000000"/>
            </w:tcBorders>
            <w:vAlign w:val="center"/>
          </w:tcPr>
          <w:p w14:paraId="0CF404CC" w14:textId="77777777" w:rsidR="00000000" w:rsidRDefault="00000000">
            <w:pPr>
              <w:pStyle w:val="Notetable"/>
              <w:spacing w:before="26" w:after="26"/>
              <w:jc w:val="left"/>
            </w:pPr>
            <w:r>
              <w:rPr>
                <w:b/>
                <w:bCs/>
                <w:lang w:val="es-PE"/>
              </w:rPr>
              <w:t>Optimizer</w:t>
            </w:r>
          </w:p>
        </w:tc>
        <w:tc>
          <w:tcPr>
            <w:tcW w:w="948" w:type="dxa"/>
            <w:tcBorders>
              <w:bottom w:val="single" w:sz="4" w:space="0" w:color="000000"/>
            </w:tcBorders>
            <w:vAlign w:val="center"/>
          </w:tcPr>
          <w:p w14:paraId="0868B851" w14:textId="77777777" w:rsidR="00000000" w:rsidRDefault="00000000">
            <w:pPr>
              <w:pStyle w:val="Notetable"/>
              <w:spacing w:before="26" w:after="26"/>
              <w:jc w:val="left"/>
            </w:pPr>
            <w:r>
              <w:rPr>
                <w:b/>
                <w:bCs/>
                <w:lang w:val="es-PE"/>
              </w:rPr>
              <w:t>No. of Iterations</w:t>
            </w:r>
          </w:p>
        </w:tc>
        <w:tc>
          <w:tcPr>
            <w:tcW w:w="435" w:type="dxa"/>
            <w:tcBorders>
              <w:bottom w:val="single" w:sz="4" w:space="0" w:color="000000"/>
            </w:tcBorders>
            <w:vAlign w:val="center"/>
          </w:tcPr>
          <w:p w14:paraId="3473A35D" w14:textId="77777777" w:rsidR="00000000" w:rsidRDefault="00000000">
            <w:pPr>
              <w:pStyle w:val="Notetable"/>
              <w:spacing w:before="26" w:after="26"/>
              <w:jc w:val="left"/>
            </w:pPr>
            <w:r>
              <w:rPr>
                <w:b/>
                <w:bCs/>
                <w:lang w:val="es-PE"/>
              </w:rPr>
              <w:t>F1</w:t>
            </w:r>
          </w:p>
        </w:tc>
      </w:tr>
      <w:tr w:rsidR="00000000" w14:paraId="30C23505" w14:textId="77777777">
        <w:tc>
          <w:tcPr>
            <w:tcW w:w="1466" w:type="dxa"/>
            <w:vAlign w:val="center"/>
          </w:tcPr>
          <w:p w14:paraId="17C6B816" w14:textId="77777777" w:rsidR="00000000" w:rsidRDefault="00000000">
            <w:pPr>
              <w:pStyle w:val="Notetable"/>
              <w:spacing w:before="26" w:after="26"/>
              <w:jc w:val="left"/>
            </w:pPr>
            <w:r>
              <w:rPr>
                <w:lang w:val="es-PE"/>
              </w:rPr>
              <w:t>Dummy</w:t>
            </w:r>
          </w:p>
        </w:tc>
        <w:tc>
          <w:tcPr>
            <w:tcW w:w="2281" w:type="dxa"/>
            <w:vAlign w:val="center"/>
          </w:tcPr>
          <w:p w14:paraId="3D90DEE3" w14:textId="77777777" w:rsidR="00000000" w:rsidRDefault="00000000">
            <w:pPr>
              <w:pStyle w:val="Notetable"/>
              <w:spacing w:before="26" w:after="26"/>
              <w:jc w:val="left"/>
            </w:pPr>
            <w:r>
              <w:rPr>
                <w:lang w:val="es-PE"/>
              </w:rPr>
              <w:t>—</w:t>
            </w:r>
          </w:p>
        </w:tc>
        <w:tc>
          <w:tcPr>
            <w:tcW w:w="948" w:type="dxa"/>
            <w:vAlign w:val="center"/>
          </w:tcPr>
          <w:p w14:paraId="79C37B76" w14:textId="77777777" w:rsidR="00000000" w:rsidRDefault="00000000">
            <w:pPr>
              <w:pStyle w:val="Notetable"/>
              <w:spacing w:before="26" w:after="26"/>
              <w:jc w:val="left"/>
            </w:pPr>
            <w:r>
              <w:rPr>
                <w:lang w:val="es-PE"/>
              </w:rPr>
              <w:t>—</w:t>
            </w:r>
          </w:p>
        </w:tc>
        <w:tc>
          <w:tcPr>
            <w:tcW w:w="435" w:type="dxa"/>
            <w:vAlign w:val="center"/>
          </w:tcPr>
          <w:p w14:paraId="5B644544" w14:textId="77777777" w:rsidR="00000000" w:rsidRDefault="00000000">
            <w:pPr>
              <w:pStyle w:val="Notetable"/>
              <w:spacing w:before="26" w:after="26"/>
              <w:jc w:val="left"/>
            </w:pPr>
            <w:r>
              <w:rPr>
                <w:lang w:val="es-PE"/>
              </w:rPr>
              <w:t>—</w:t>
            </w:r>
          </w:p>
        </w:tc>
      </w:tr>
      <w:tr w:rsidR="00000000" w14:paraId="389464E1" w14:textId="77777777">
        <w:tc>
          <w:tcPr>
            <w:tcW w:w="1466" w:type="dxa"/>
            <w:vAlign w:val="center"/>
          </w:tcPr>
          <w:p w14:paraId="2578C933" w14:textId="77777777" w:rsidR="00000000" w:rsidRDefault="00000000">
            <w:pPr>
              <w:pStyle w:val="Notetable"/>
              <w:spacing w:before="26" w:after="26"/>
              <w:jc w:val="left"/>
            </w:pPr>
            <w:r>
              <w:rPr>
                <w:lang w:val="es-PE"/>
              </w:rPr>
              <w:t>Logistic Regression</w:t>
            </w:r>
          </w:p>
        </w:tc>
        <w:tc>
          <w:tcPr>
            <w:tcW w:w="2281" w:type="dxa"/>
            <w:vAlign w:val="center"/>
          </w:tcPr>
          <w:p w14:paraId="25CB6ED7" w14:textId="77777777" w:rsidR="00000000" w:rsidRDefault="00000000">
            <w:pPr>
              <w:pStyle w:val="Notetable"/>
              <w:spacing w:before="26" w:after="26"/>
              <w:jc w:val="left"/>
            </w:pPr>
            <w:r>
              <w:rPr>
                <w:lang w:val="es-PE"/>
              </w:rPr>
              <w:t>RandomizedSearchCV</w:t>
            </w:r>
          </w:p>
        </w:tc>
        <w:tc>
          <w:tcPr>
            <w:tcW w:w="948" w:type="dxa"/>
            <w:vAlign w:val="center"/>
          </w:tcPr>
          <w:p w14:paraId="0867E242" w14:textId="77777777" w:rsidR="00000000" w:rsidRDefault="00000000">
            <w:pPr>
              <w:pStyle w:val="Notetable"/>
              <w:spacing w:before="26" w:after="26"/>
              <w:jc w:val="left"/>
            </w:pPr>
            <w:r>
              <w:rPr>
                <w:lang w:val="es-PE"/>
              </w:rPr>
              <w:t>100</w:t>
            </w:r>
          </w:p>
        </w:tc>
        <w:tc>
          <w:tcPr>
            <w:tcW w:w="435" w:type="dxa"/>
            <w:vAlign w:val="center"/>
          </w:tcPr>
          <w:p w14:paraId="145FC1A4" w14:textId="77777777" w:rsidR="00000000" w:rsidRDefault="00000000">
            <w:pPr>
              <w:pStyle w:val="Notetable"/>
              <w:spacing w:before="26" w:after="26"/>
              <w:jc w:val="left"/>
            </w:pPr>
            <w:r>
              <w:rPr>
                <w:lang w:val="es-PE"/>
              </w:rPr>
              <w:t>0.485</w:t>
            </w:r>
          </w:p>
        </w:tc>
      </w:tr>
      <w:tr w:rsidR="00000000" w14:paraId="64229DCE" w14:textId="77777777">
        <w:tc>
          <w:tcPr>
            <w:tcW w:w="1466" w:type="dxa"/>
            <w:vAlign w:val="center"/>
          </w:tcPr>
          <w:p w14:paraId="2FEEDD56" w14:textId="77777777" w:rsidR="00000000" w:rsidRDefault="00000000">
            <w:pPr>
              <w:pStyle w:val="Notetable"/>
              <w:spacing w:before="26" w:after="26"/>
              <w:jc w:val="left"/>
            </w:pPr>
            <w:r>
              <w:rPr>
                <w:lang w:val="es-PE"/>
              </w:rPr>
              <w:t>SVM (LinearSVC + Platt)</w:t>
            </w:r>
          </w:p>
        </w:tc>
        <w:tc>
          <w:tcPr>
            <w:tcW w:w="2281" w:type="dxa"/>
            <w:vAlign w:val="center"/>
          </w:tcPr>
          <w:p w14:paraId="79ADFEA9" w14:textId="77777777" w:rsidR="00000000" w:rsidRDefault="00000000">
            <w:pPr>
              <w:pStyle w:val="Notetable"/>
              <w:spacing w:before="26" w:after="26"/>
              <w:jc w:val="left"/>
            </w:pPr>
            <w:r>
              <w:rPr>
                <w:lang w:val="es-PE"/>
              </w:rPr>
              <w:t>RandomizedSearchCV</w:t>
            </w:r>
          </w:p>
        </w:tc>
        <w:tc>
          <w:tcPr>
            <w:tcW w:w="948" w:type="dxa"/>
            <w:vAlign w:val="center"/>
          </w:tcPr>
          <w:p w14:paraId="230F921B" w14:textId="77777777" w:rsidR="00000000" w:rsidRDefault="00000000">
            <w:pPr>
              <w:pStyle w:val="Notetable"/>
              <w:spacing w:before="26" w:after="26"/>
              <w:jc w:val="left"/>
            </w:pPr>
            <w:r>
              <w:rPr>
                <w:lang w:val="es-PE"/>
              </w:rPr>
              <w:t>100</w:t>
            </w:r>
          </w:p>
        </w:tc>
        <w:tc>
          <w:tcPr>
            <w:tcW w:w="435" w:type="dxa"/>
            <w:vAlign w:val="center"/>
          </w:tcPr>
          <w:p w14:paraId="2764E143" w14:textId="77777777" w:rsidR="00000000" w:rsidRDefault="00000000">
            <w:pPr>
              <w:pStyle w:val="Notetable"/>
              <w:spacing w:before="26" w:after="26"/>
              <w:jc w:val="left"/>
            </w:pPr>
            <w:r>
              <w:rPr>
                <w:lang w:val="es-PE"/>
              </w:rPr>
              <w:t>0.268</w:t>
            </w:r>
          </w:p>
        </w:tc>
      </w:tr>
      <w:tr w:rsidR="00000000" w14:paraId="011331CE" w14:textId="77777777">
        <w:tc>
          <w:tcPr>
            <w:tcW w:w="1466" w:type="dxa"/>
            <w:vAlign w:val="center"/>
          </w:tcPr>
          <w:p w14:paraId="1F0CD934" w14:textId="77777777" w:rsidR="00000000" w:rsidRDefault="00000000">
            <w:pPr>
              <w:pStyle w:val="Notetable"/>
              <w:spacing w:before="26" w:after="26"/>
              <w:jc w:val="left"/>
            </w:pPr>
            <w:r>
              <w:rPr>
                <w:lang w:val="es-PE"/>
              </w:rPr>
              <w:t>XGBoost</w:t>
            </w:r>
          </w:p>
        </w:tc>
        <w:tc>
          <w:tcPr>
            <w:tcW w:w="2281" w:type="dxa"/>
            <w:vAlign w:val="center"/>
          </w:tcPr>
          <w:p w14:paraId="4AF572E9" w14:textId="77777777" w:rsidR="00000000" w:rsidRDefault="00000000">
            <w:pPr>
              <w:pStyle w:val="Notetable"/>
              <w:spacing w:before="26" w:after="26"/>
              <w:jc w:val="left"/>
            </w:pPr>
            <w:r>
              <w:rPr>
                <w:lang w:val="es-PE"/>
              </w:rPr>
              <w:t>RandomizedSearchCV</w:t>
            </w:r>
          </w:p>
        </w:tc>
        <w:tc>
          <w:tcPr>
            <w:tcW w:w="948" w:type="dxa"/>
            <w:vAlign w:val="center"/>
          </w:tcPr>
          <w:p w14:paraId="45463860" w14:textId="77777777" w:rsidR="00000000" w:rsidRDefault="00000000">
            <w:pPr>
              <w:pStyle w:val="Notetable"/>
              <w:spacing w:before="26" w:after="26"/>
              <w:jc w:val="left"/>
            </w:pPr>
            <w:r>
              <w:rPr>
                <w:lang w:val="es-PE"/>
              </w:rPr>
              <w:t>100</w:t>
            </w:r>
          </w:p>
        </w:tc>
        <w:tc>
          <w:tcPr>
            <w:tcW w:w="435" w:type="dxa"/>
            <w:vAlign w:val="center"/>
          </w:tcPr>
          <w:p w14:paraId="31ED8BA6" w14:textId="77777777" w:rsidR="00000000" w:rsidRDefault="00000000">
            <w:pPr>
              <w:pStyle w:val="Notetable"/>
              <w:spacing w:before="26" w:after="26"/>
              <w:jc w:val="left"/>
            </w:pPr>
            <w:r>
              <w:rPr>
                <w:lang w:val="es-PE"/>
              </w:rPr>
              <w:t>0.553</w:t>
            </w:r>
          </w:p>
        </w:tc>
      </w:tr>
      <w:tr w:rsidR="00000000" w14:paraId="6734B4D9" w14:textId="77777777">
        <w:tc>
          <w:tcPr>
            <w:tcW w:w="1466" w:type="dxa"/>
            <w:vAlign w:val="center"/>
          </w:tcPr>
          <w:p w14:paraId="586A5EC9" w14:textId="77777777" w:rsidR="00000000" w:rsidRDefault="00000000">
            <w:pPr>
              <w:pStyle w:val="Notetable"/>
              <w:spacing w:before="26" w:after="26"/>
              <w:jc w:val="left"/>
            </w:pPr>
            <w:r>
              <w:rPr>
                <w:lang w:val="es-PE"/>
              </w:rPr>
              <w:t>LightGBM</w:t>
            </w:r>
          </w:p>
        </w:tc>
        <w:tc>
          <w:tcPr>
            <w:tcW w:w="2281" w:type="dxa"/>
            <w:vAlign w:val="center"/>
          </w:tcPr>
          <w:p w14:paraId="03C332A5" w14:textId="77777777" w:rsidR="00000000" w:rsidRDefault="00000000">
            <w:pPr>
              <w:pStyle w:val="Notetable"/>
              <w:spacing w:before="26" w:after="26"/>
              <w:jc w:val="left"/>
            </w:pPr>
            <w:r>
              <w:rPr>
                <w:lang w:val="es-PE"/>
              </w:rPr>
              <w:t>RandomizedSearchCV</w:t>
            </w:r>
          </w:p>
        </w:tc>
        <w:tc>
          <w:tcPr>
            <w:tcW w:w="948" w:type="dxa"/>
            <w:vAlign w:val="center"/>
          </w:tcPr>
          <w:p w14:paraId="727A98EA" w14:textId="77777777" w:rsidR="00000000" w:rsidRDefault="00000000">
            <w:pPr>
              <w:pStyle w:val="Notetable"/>
              <w:spacing w:before="26" w:after="26"/>
              <w:jc w:val="left"/>
            </w:pPr>
            <w:r>
              <w:rPr>
                <w:lang w:val="es-PE"/>
              </w:rPr>
              <w:t>100</w:t>
            </w:r>
          </w:p>
        </w:tc>
        <w:tc>
          <w:tcPr>
            <w:tcW w:w="435" w:type="dxa"/>
            <w:vAlign w:val="center"/>
          </w:tcPr>
          <w:p w14:paraId="644932F4" w14:textId="77777777" w:rsidR="00000000" w:rsidRDefault="00000000">
            <w:pPr>
              <w:pStyle w:val="Notetable"/>
              <w:spacing w:before="26" w:after="26"/>
              <w:jc w:val="left"/>
            </w:pPr>
            <w:r>
              <w:rPr>
                <w:lang w:val="es-PE"/>
              </w:rPr>
              <w:t>0.563</w:t>
            </w:r>
          </w:p>
        </w:tc>
      </w:tr>
      <w:tr w:rsidR="00000000" w14:paraId="4787F038" w14:textId="77777777">
        <w:tc>
          <w:tcPr>
            <w:tcW w:w="1466" w:type="dxa"/>
            <w:vAlign w:val="center"/>
          </w:tcPr>
          <w:p w14:paraId="6C0ACC7C" w14:textId="77777777" w:rsidR="00000000" w:rsidRDefault="00000000">
            <w:pPr>
              <w:pStyle w:val="Notetable"/>
              <w:spacing w:before="26" w:after="26"/>
              <w:jc w:val="left"/>
            </w:pPr>
            <w:r>
              <w:rPr>
                <w:lang w:val="es-PE"/>
              </w:rPr>
              <w:t>CatBoost</w:t>
            </w:r>
          </w:p>
        </w:tc>
        <w:tc>
          <w:tcPr>
            <w:tcW w:w="2281" w:type="dxa"/>
            <w:vAlign w:val="center"/>
          </w:tcPr>
          <w:p w14:paraId="7553A136" w14:textId="77777777" w:rsidR="00000000" w:rsidRDefault="00000000">
            <w:pPr>
              <w:pStyle w:val="Notetable"/>
              <w:spacing w:before="26" w:after="26"/>
              <w:jc w:val="left"/>
            </w:pPr>
            <w:r>
              <w:rPr>
                <w:lang w:val="es-PE"/>
              </w:rPr>
              <w:t>RandomizedSearchCV</w:t>
            </w:r>
          </w:p>
        </w:tc>
        <w:tc>
          <w:tcPr>
            <w:tcW w:w="948" w:type="dxa"/>
            <w:vAlign w:val="center"/>
          </w:tcPr>
          <w:p w14:paraId="245C91AD" w14:textId="77777777" w:rsidR="00000000" w:rsidRDefault="00000000">
            <w:pPr>
              <w:pStyle w:val="Notetable"/>
              <w:spacing w:before="26" w:after="26"/>
              <w:jc w:val="left"/>
            </w:pPr>
            <w:r>
              <w:rPr>
                <w:lang w:val="es-PE"/>
              </w:rPr>
              <w:t>100</w:t>
            </w:r>
          </w:p>
        </w:tc>
        <w:tc>
          <w:tcPr>
            <w:tcW w:w="435" w:type="dxa"/>
            <w:vAlign w:val="center"/>
          </w:tcPr>
          <w:p w14:paraId="0E4D5379" w14:textId="77777777" w:rsidR="00000000" w:rsidRDefault="00000000">
            <w:pPr>
              <w:pStyle w:val="Notetable"/>
              <w:spacing w:before="26" w:after="26"/>
              <w:jc w:val="left"/>
            </w:pPr>
            <w:r>
              <w:rPr>
                <w:lang w:val="es-PE"/>
              </w:rPr>
              <w:t>0.563</w:t>
            </w:r>
          </w:p>
        </w:tc>
      </w:tr>
      <w:tr w:rsidR="00000000" w14:paraId="1CF79205" w14:textId="77777777">
        <w:tc>
          <w:tcPr>
            <w:tcW w:w="1466" w:type="dxa"/>
            <w:vAlign w:val="center"/>
          </w:tcPr>
          <w:p w14:paraId="45177514" w14:textId="77777777" w:rsidR="00000000" w:rsidRDefault="00000000">
            <w:pPr>
              <w:pStyle w:val="Notetable"/>
              <w:spacing w:before="26" w:after="26"/>
              <w:jc w:val="left"/>
            </w:pPr>
            <w:r>
              <w:rPr>
                <w:lang w:val="es-PE"/>
              </w:rPr>
              <w:t>LightGBM (Optuna)</w:t>
            </w:r>
          </w:p>
        </w:tc>
        <w:tc>
          <w:tcPr>
            <w:tcW w:w="2281" w:type="dxa"/>
            <w:vAlign w:val="center"/>
          </w:tcPr>
          <w:p w14:paraId="2FF346D9" w14:textId="77777777" w:rsidR="00000000" w:rsidRDefault="00000000">
            <w:pPr>
              <w:pStyle w:val="Notetable"/>
              <w:spacing w:before="26" w:after="26"/>
              <w:jc w:val="left"/>
            </w:pPr>
            <w:r>
              <w:rPr>
                <w:lang w:val="es-PE"/>
              </w:rPr>
              <w:t>TPE (Optuna)</w:t>
            </w:r>
          </w:p>
        </w:tc>
        <w:tc>
          <w:tcPr>
            <w:tcW w:w="948" w:type="dxa"/>
            <w:vAlign w:val="center"/>
          </w:tcPr>
          <w:p w14:paraId="22F1D0B8" w14:textId="77777777" w:rsidR="00000000" w:rsidRDefault="00000000">
            <w:pPr>
              <w:pStyle w:val="Notetable"/>
              <w:spacing w:before="26" w:after="26"/>
              <w:jc w:val="left"/>
            </w:pPr>
            <w:r>
              <w:rPr>
                <w:lang w:val="es-PE"/>
              </w:rPr>
              <w:t>100</w:t>
            </w:r>
          </w:p>
        </w:tc>
        <w:tc>
          <w:tcPr>
            <w:tcW w:w="435" w:type="dxa"/>
            <w:vAlign w:val="center"/>
          </w:tcPr>
          <w:p w14:paraId="31E0ED2C" w14:textId="77777777" w:rsidR="00000000" w:rsidRDefault="00000000">
            <w:pPr>
              <w:pStyle w:val="Notetable"/>
              <w:spacing w:before="26" w:after="26"/>
              <w:jc w:val="left"/>
            </w:pPr>
            <w:r>
              <w:rPr>
                <w:lang w:val="es-PE"/>
              </w:rPr>
              <w:t>0.568</w:t>
            </w:r>
          </w:p>
        </w:tc>
      </w:tr>
      <w:tr w:rsidR="00000000" w14:paraId="0D3D855E" w14:textId="77777777">
        <w:tc>
          <w:tcPr>
            <w:tcW w:w="1466" w:type="dxa"/>
            <w:vAlign w:val="center"/>
          </w:tcPr>
          <w:p w14:paraId="60A985E8" w14:textId="77777777" w:rsidR="00000000" w:rsidRDefault="00000000">
            <w:pPr>
              <w:pStyle w:val="Notetable"/>
              <w:spacing w:before="26" w:after="26"/>
              <w:jc w:val="left"/>
            </w:pPr>
            <w:r>
              <w:rPr>
                <w:lang w:val="es-PE"/>
              </w:rPr>
              <w:t>VotingClassifier</w:t>
            </w:r>
          </w:p>
        </w:tc>
        <w:tc>
          <w:tcPr>
            <w:tcW w:w="2281" w:type="dxa"/>
            <w:vAlign w:val="center"/>
          </w:tcPr>
          <w:p w14:paraId="6283090B" w14:textId="77777777" w:rsidR="00000000" w:rsidRDefault="00000000">
            <w:pPr>
              <w:pStyle w:val="Notetable"/>
              <w:spacing w:before="26" w:after="26"/>
              <w:jc w:val="left"/>
            </w:pPr>
            <w:r>
              <w:rPr>
                <w:lang w:val="es-PE"/>
              </w:rPr>
              <w:t>—</w:t>
            </w:r>
            <w:r>
              <w:rPr>
                <w:rFonts w:eastAsia="Times" w:cs="Times"/>
                <w:lang w:val="es-PE"/>
              </w:rPr>
              <w:t xml:space="preserve"> </w:t>
            </w:r>
            <w:r>
              <w:rPr>
                <w:lang w:val="es-PE"/>
              </w:rPr>
              <w:t>(Ensemble, No Hyperparameter Tuning)</w:t>
            </w:r>
          </w:p>
        </w:tc>
        <w:tc>
          <w:tcPr>
            <w:tcW w:w="948" w:type="dxa"/>
            <w:vAlign w:val="center"/>
          </w:tcPr>
          <w:p w14:paraId="57FEDD30" w14:textId="77777777" w:rsidR="00000000" w:rsidRDefault="00000000">
            <w:pPr>
              <w:pStyle w:val="Notetable"/>
              <w:spacing w:before="26" w:after="26"/>
              <w:jc w:val="left"/>
            </w:pPr>
            <w:r>
              <w:rPr>
                <w:lang w:val="es-PE"/>
              </w:rPr>
              <w:t>—</w:t>
            </w:r>
          </w:p>
        </w:tc>
        <w:tc>
          <w:tcPr>
            <w:tcW w:w="435" w:type="dxa"/>
            <w:vAlign w:val="center"/>
          </w:tcPr>
          <w:p w14:paraId="67784D62" w14:textId="77777777" w:rsidR="00000000" w:rsidRDefault="00000000">
            <w:pPr>
              <w:pStyle w:val="Notetable"/>
              <w:spacing w:before="26" w:after="26"/>
              <w:jc w:val="left"/>
            </w:pPr>
            <w:r>
              <w:rPr>
                <w:lang w:val="es-PE"/>
              </w:rPr>
              <w:t>—</w:t>
            </w:r>
          </w:p>
        </w:tc>
      </w:tr>
      <w:tr w:rsidR="00000000" w14:paraId="2C7DC4EB" w14:textId="77777777">
        <w:tc>
          <w:tcPr>
            <w:tcW w:w="1466" w:type="dxa"/>
            <w:vAlign w:val="center"/>
          </w:tcPr>
          <w:p w14:paraId="0C3215AF" w14:textId="77777777" w:rsidR="00000000" w:rsidRDefault="00000000">
            <w:pPr>
              <w:pStyle w:val="Notetable"/>
              <w:spacing w:before="26" w:after="26"/>
              <w:jc w:val="left"/>
            </w:pPr>
            <w:r>
              <w:rPr>
                <w:lang w:val="es-PE"/>
              </w:rPr>
              <w:t>Temporal Stacking</w:t>
            </w:r>
          </w:p>
        </w:tc>
        <w:tc>
          <w:tcPr>
            <w:tcW w:w="2281" w:type="dxa"/>
            <w:vAlign w:val="center"/>
          </w:tcPr>
          <w:p w14:paraId="78768654" w14:textId="77777777" w:rsidR="00000000" w:rsidRDefault="00000000">
            <w:pPr>
              <w:pStyle w:val="Notetable"/>
              <w:spacing w:before="26" w:after="26"/>
              <w:jc w:val="left"/>
            </w:pPr>
            <w:r>
              <w:t>—</w:t>
            </w:r>
            <w:r>
              <w:rPr>
                <w:rFonts w:eastAsia="Times" w:cs="Times"/>
              </w:rPr>
              <w:t xml:space="preserve"> </w:t>
            </w:r>
            <w:r>
              <w:t>(Meta-Model Based on OOF Predictions)</w:t>
            </w:r>
          </w:p>
        </w:tc>
        <w:tc>
          <w:tcPr>
            <w:tcW w:w="948" w:type="dxa"/>
            <w:vAlign w:val="center"/>
          </w:tcPr>
          <w:p w14:paraId="760C47B6" w14:textId="77777777" w:rsidR="00000000" w:rsidRDefault="00000000">
            <w:pPr>
              <w:pStyle w:val="Notetable"/>
              <w:spacing w:before="26" w:after="26"/>
              <w:jc w:val="left"/>
            </w:pPr>
            <w:r>
              <w:rPr>
                <w:lang w:val="es-PE"/>
              </w:rPr>
              <w:t>—</w:t>
            </w:r>
          </w:p>
        </w:tc>
        <w:tc>
          <w:tcPr>
            <w:tcW w:w="435" w:type="dxa"/>
            <w:vAlign w:val="center"/>
          </w:tcPr>
          <w:p w14:paraId="5028136B" w14:textId="77777777" w:rsidR="00000000" w:rsidRDefault="00000000">
            <w:pPr>
              <w:pStyle w:val="Notetable"/>
              <w:spacing w:before="26" w:after="26"/>
              <w:jc w:val="left"/>
            </w:pPr>
            <w:r>
              <w:rPr>
                <w:lang w:val="es-PE"/>
              </w:rPr>
              <w:t>—</w:t>
            </w:r>
          </w:p>
        </w:tc>
      </w:tr>
    </w:tbl>
    <w:p w14:paraId="6FF82510" w14:textId="77777777" w:rsidR="00000000" w:rsidRDefault="00000000">
      <w:pPr>
        <w:pStyle w:val="Notetable"/>
        <w:rPr>
          <w:rFonts w:ascii="Times New Roman" w:hAnsi="Times New Roman"/>
        </w:rPr>
      </w:pPr>
      <w:r>
        <w:t>Note: The complete hyperparameter search spaces for all models are provided in the associated code repository.</w:t>
      </w:r>
    </w:p>
    <w:p w14:paraId="1DB2D1C6" w14:textId="77777777" w:rsidR="00000000" w:rsidRDefault="00000000">
      <w:pPr>
        <w:snapToGrid w:val="0"/>
        <w:ind w:firstLine="360"/>
        <w:jc w:val="both"/>
        <w:rPr>
          <w:rFonts w:ascii="Times New Roman" w:hAnsi="Times New Roman" w:cs="Times New Roman"/>
          <w:lang w:val="en-US"/>
        </w:rPr>
      </w:pPr>
      <w:r>
        <w:rPr>
          <w:rFonts w:ascii="Times New Roman" w:hAnsi="Times New Roman" w:cs="Times New Roman"/>
          <w:lang w:val="en-US"/>
        </w:rPr>
        <w:t>To mitigate the native class imbalance of the dataset (86% versus 14%), compatible models incorporated internal penalization techniques through class weighting in their loss functions (</w:t>
      </w:r>
      <w:r>
        <w:rPr>
          <w:rFonts w:ascii="Times New Roman" w:hAnsi="Times New Roman" w:cs="Times New Roman"/>
          <w:i/>
          <w:iCs/>
          <w:lang w:val="en-US"/>
        </w:rPr>
        <w:t>class_weight = "balanced"</w:t>
      </w:r>
      <w:r>
        <w:rPr>
          <w:rFonts w:ascii="Times New Roman" w:hAnsi="Times New Roman" w:cs="Times New Roman"/>
          <w:lang w:val="en-US"/>
        </w:rPr>
        <w:t xml:space="preserve"> or </w:t>
      </w:r>
      <w:r>
        <w:rPr>
          <w:rFonts w:ascii="Times New Roman" w:hAnsi="Times New Roman" w:cs="Times New Roman"/>
          <w:i/>
          <w:iCs/>
          <w:lang w:val="en-US"/>
        </w:rPr>
        <w:t>scale_pos_weight</w:t>
      </w:r>
      <w:r>
        <w:rPr>
          <w:rFonts w:ascii="Times New Roman" w:hAnsi="Times New Roman" w:cs="Times New Roman"/>
          <w:lang w:val="en-US"/>
        </w:rPr>
        <w:t>), while synthetic resampling was omitted because the observed imbalance did not require an artificial expansion of the sample space.</w:t>
      </w:r>
    </w:p>
    <w:p w14:paraId="70264F40" w14:textId="77777777" w:rsidR="00000000" w:rsidRDefault="00000000">
      <w:pPr>
        <w:snapToGrid w:val="0"/>
        <w:ind w:firstLine="360"/>
        <w:jc w:val="both"/>
        <w:rPr>
          <w:rFonts w:ascii="Times New Roman" w:hAnsi="Times New Roman" w:cs="Times New Roman"/>
          <w:lang w:val="en-US"/>
        </w:rPr>
      </w:pPr>
      <w:r>
        <w:rPr>
          <w:rFonts w:ascii="Times New Roman" w:hAnsi="Times New Roman" w:cs="Times New Roman"/>
          <w:lang w:val="en-US"/>
        </w:rPr>
        <w:t>Based on this configuration, two meta-models were constructed by combining the five base estimators with the highest internal cross-validation F1 scores—Logistic Regression, LightGBM, Optuna-optimized LightGBM, XGBoost, and CatBoost, excluding SVM because of its lower performance (CV F1 = 0.268): a soft voting ensemble (</w:t>
      </w:r>
      <w:r>
        <w:rPr>
          <w:rFonts w:ascii="Times New Roman" w:hAnsi="Times New Roman" w:cs="Times New Roman"/>
          <w:i/>
          <w:iCs/>
          <w:lang w:val="en-US"/>
        </w:rPr>
        <w:t>VotingClassifier</w:t>
      </w:r>
      <w:r>
        <w:rPr>
          <w:rFonts w:ascii="Times New Roman" w:hAnsi="Times New Roman" w:cs="Times New Roman"/>
          <w:lang w:val="en-US"/>
        </w:rPr>
        <w:t>), which computes the unweighted average of the predicted probabilities from the five models (Eq. (3)), and a temporal stacking classifier (</w:t>
      </w:r>
      <w:r>
        <w:rPr>
          <w:rFonts w:ascii="Times New Roman" w:hAnsi="Times New Roman" w:cs="Times New Roman"/>
          <w:i/>
          <w:iCs/>
          <w:lang w:val="en-US"/>
        </w:rPr>
        <w:t>Stacking</w:t>
      </w:r>
      <w:r>
        <w:rPr>
          <w:rFonts w:ascii="Times New Roman" w:hAnsi="Times New Roman" w:cs="Times New Roman"/>
          <w:lang w:val="en-US"/>
        </w:rPr>
        <w:t>), which trains a Logistic Regression model using the five out-of-fold probabilities as meta-features (Eq. (4), Section III.D.3).</w:t>
      </w:r>
    </w:p>
    <w:p w14:paraId="08BB3E8B" w14:textId="77777777" w:rsidR="00000000" w:rsidRDefault="00000000">
      <w:pPr>
        <w:snapToGrid w:val="0"/>
        <w:ind w:firstLine="360"/>
        <w:jc w:val="both"/>
        <w:rPr>
          <w:rFonts w:ascii="Times New Roman" w:hAnsi="Times New Roman" w:cs="Times New Roman"/>
          <w:lang w:val="en-US"/>
        </w:rPr>
      </w:pPr>
    </w:p>
    <w:tbl>
      <w:tblPr>
        <w:tblW w:w="0" w:type="auto"/>
        <w:jc w:val="center"/>
        <w:tblLayout w:type="fixed"/>
        <w:tblLook w:val="0000" w:firstRow="0" w:lastRow="0" w:firstColumn="0" w:lastColumn="0" w:noHBand="0" w:noVBand="0"/>
      </w:tblPr>
      <w:tblGrid>
        <w:gridCol w:w="3384"/>
        <w:gridCol w:w="450"/>
      </w:tblGrid>
      <w:tr w:rsidR="00000000" w14:paraId="15367FA1" w14:textId="77777777">
        <w:trPr>
          <w:jc w:val="center"/>
        </w:trPr>
        <w:tc>
          <w:tcPr>
            <w:tcW w:w="3384" w:type="dxa"/>
            <w:vAlign w:val="center"/>
          </w:tcPr>
          <w:p w14:paraId="125B0A61" w14:textId="77777777" w:rsidR="00000000" w:rsidRDefault="00000000">
            <w:r>
              <w:pict w14:anchorId="149E7059">
                <v:shape id="_x0000_i1036" type="#_x0000_t75" style="width:158.4pt;height:17.4pt" filled="t">
                  <v:fill opacity="0" color2="black"/>
                  <v:imagedata r:id="rId23" o:title="" croptop="-384f" cropbottom="-384f" cropleft="-42f" cropright="-83f"/>
                </v:shape>
              </w:pict>
            </w:r>
          </w:p>
        </w:tc>
        <w:tc>
          <w:tcPr>
            <w:tcW w:w="450" w:type="dxa"/>
            <w:vAlign w:val="center"/>
          </w:tcPr>
          <w:p w14:paraId="49A9E156" w14:textId="77777777" w:rsidR="00000000" w:rsidRDefault="00000000">
            <w:r>
              <w:t>(</w:t>
            </w:r>
            <w:r>
              <w:fldChar w:fldCharType="begin"/>
            </w:r>
            <w:r>
              <w:instrText xml:space="preserve"> SEQ "Ecu" \* ARABIC </w:instrText>
            </w:r>
            <w:r>
              <w:fldChar w:fldCharType="separate"/>
            </w:r>
            <w:r>
              <w:t>3</w:t>
            </w:r>
            <w:r>
              <w:fldChar w:fldCharType="end"/>
            </w:r>
            <w:r>
              <w:t>)</w:t>
            </w:r>
          </w:p>
        </w:tc>
      </w:tr>
    </w:tbl>
    <w:p w14:paraId="66CAFFBB" w14:textId="77777777" w:rsidR="00000000" w:rsidRDefault="00000000">
      <w:pPr>
        <w:snapToGrid w:val="0"/>
        <w:ind w:firstLine="360"/>
        <w:jc w:val="both"/>
        <w:rPr>
          <w:rFonts w:ascii="Times New Roman" w:hAnsi="Times New Roman" w:cs="Times New Roman"/>
          <w:lang w:val="en-US"/>
        </w:rPr>
      </w:pPr>
    </w:p>
    <w:p w14:paraId="14C18446" w14:textId="77777777" w:rsidR="00000000" w:rsidRDefault="00000000">
      <w:pPr>
        <w:pStyle w:val="Ttulo3"/>
        <w:ind w:firstLine="0"/>
        <w:rPr>
          <w:rFonts w:ascii="Times New Roman" w:hAnsi="Times New Roman" w:cs="Times New Roman"/>
        </w:rPr>
      </w:pPr>
      <w:r>
        <w:t>3) Optimization Strategy</w:t>
      </w:r>
    </w:p>
    <w:p w14:paraId="5EFC3503" w14:textId="77777777" w:rsidR="00000000" w:rsidRDefault="00000000">
      <w:pPr>
        <w:snapToGrid w:val="0"/>
        <w:ind w:firstLine="360"/>
        <w:jc w:val="both"/>
        <w:rPr>
          <w:rFonts w:ascii="Times New Roman" w:hAnsi="Times New Roman" w:cs="Times New Roman"/>
          <w:lang w:val="en-US"/>
        </w:rPr>
      </w:pPr>
      <w:r>
        <w:rPr>
          <w:rFonts w:ascii="Times New Roman" w:hAnsi="Times New Roman" w:cs="Times New Roman"/>
          <w:lang w:val="en-US"/>
        </w:rPr>
        <w:t xml:space="preserve">The hyperparameters of the base estimators were tuned using </w:t>
      </w:r>
      <w:r>
        <w:rPr>
          <w:rFonts w:ascii="Times New Roman" w:hAnsi="Times New Roman" w:cs="Times New Roman"/>
          <w:i/>
          <w:iCs/>
          <w:lang w:val="en-US"/>
        </w:rPr>
        <w:t>RandomizedSearchCV</w:t>
      </w:r>
      <w:r>
        <w:rPr>
          <w:rFonts w:ascii="Times New Roman" w:hAnsi="Times New Roman" w:cs="Times New Roman"/>
          <w:lang w:val="en-US"/>
        </w:rPr>
        <w:t xml:space="preserve"> (N = 100 iterations), maximizing the F1-score metric over the temporal folds defined previously.</w:t>
      </w:r>
    </w:p>
    <w:p w14:paraId="0C8AAE27" w14:textId="77777777" w:rsidR="00000000" w:rsidRDefault="00000000">
      <w:pPr>
        <w:snapToGrid w:val="0"/>
        <w:ind w:firstLine="360"/>
        <w:jc w:val="both"/>
        <w:rPr>
          <w:rFonts w:ascii="Times New Roman" w:hAnsi="Times New Roman" w:cs="Times New Roman"/>
          <w:lang w:val="en-US"/>
        </w:rPr>
      </w:pPr>
      <w:r>
        <w:rPr>
          <w:rFonts w:ascii="Times New Roman" w:hAnsi="Times New Roman" w:cs="Times New Roman"/>
          <w:lang w:val="en-US"/>
        </w:rPr>
        <w:t xml:space="preserve">The LightGBM architecture was explored using Bayesian optimization (TPE in </w:t>
      </w:r>
      <w:r>
        <w:rPr>
          <w:rFonts w:ascii="Times New Roman" w:hAnsi="Times New Roman" w:cs="Times New Roman"/>
          <w:i/>
          <w:iCs/>
          <w:lang w:val="en-US"/>
        </w:rPr>
        <w:t>Optuna</w:t>
      </w:r>
      <w:r>
        <w:rPr>
          <w:rFonts w:ascii="Times New Roman" w:hAnsi="Times New Roman" w:cs="Times New Roman"/>
          <w:lang w:val="en-US"/>
        </w:rPr>
        <w:t xml:space="preserve">, 100 trials), maximizing the interannual F1-score as a comparative configuration (Table VIII); however, the final selected model was LightGBM optimized with </w:t>
      </w:r>
      <w:r>
        <w:rPr>
          <w:rFonts w:ascii="Times New Roman" w:hAnsi="Times New Roman" w:cs="Times New Roman"/>
          <w:i/>
          <w:iCs/>
          <w:lang w:val="en-US"/>
        </w:rPr>
        <w:t>RandomizedSearchCV</w:t>
      </w:r>
      <w:r>
        <w:rPr>
          <w:rFonts w:ascii="Times New Roman" w:hAnsi="Times New Roman" w:cs="Times New Roman"/>
          <w:lang w:val="en-US"/>
        </w:rPr>
        <w:t>, as it achieved a higher F1-score on the 2024 validation set (Table X).</w:t>
      </w:r>
    </w:p>
    <w:p w14:paraId="3F47BD86" w14:textId="77777777" w:rsidR="00000000" w:rsidRDefault="00000000">
      <w:pPr>
        <w:snapToGrid w:val="0"/>
        <w:ind w:firstLine="360"/>
        <w:jc w:val="both"/>
        <w:rPr>
          <w:rFonts w:ascii="Times New Roman" w:hAnsi="Times New Roman" w:cs="Times New Roman"/>
          <w:lang w:val="en-US"/>
        </w:rPr>
      </w:pPr>
      <w:r>
        <w:rPr>
          <w:rFonts w:ascii="Times New Roman" w:hAnsi="Times New Roman" w:cs="Times New Roman"/>
          <w:lang w:val="en-US"/>
        </w:rPr>
        <w:t>The stacking meta-model (Logistic Regression) is trained on the out-of-fold probabilities generated by the five base models as meta-features (Eq. (4)).</w:t>
      </w:r>
    </w:p>
    <w:p w14:paraId="3E3E8FBA" w14:textId="77777777" w:rsidR="00000000" w:rsidRDefault="00000000">
      <w:pPr>
        <w:snapToGrid w:val="0"/>
        <w:ind w:firstLine="360"/>
        <w:jc w:val="both"/>
        <w:rPr>
          <w:rFonts w:ascii="Times New Roman" w:hAnsi="Times New Roman" w:cs="Times New Roman"/>
          <w:lang w:val="en-US"/>
        </w:rPr>
      </w:pPr>
    </w:p>
    <w:tbl>
      <w:tblPr>
        <w:tblW w:w="0" w:type="auto"/>
        <w:jc w:val="center"/>
        <w:tblLayout w:type="fixed"/>
        <w:tblLook w:val="0000" w:firstRow="0" w:lastRow="0" w:firstColumn="0" w:lastColumn="0" w:noHBand="0" w:noVBand="0"/>
      </w:tblPr>
      <w:tblGrid>
        <w:gridCol w:w="4800"/>
        <w:gridCol w:w="450"/>
      </w:tblGrid>
      <w:tr w:rsidR="00000000" w14:paraId="3B64841D" w14:textId="77777777">
        <w:trPr>
          <w:jc w:val="center"/>
        </w:trPr>
        <w:tc>
          <w:tcPr>
            <w:tcW w:w="4800" w:type="dxa"/>
          </w:tcPr>
          <w:p w14:paraId="011CA871" w14:textId="77777777" w:rsidR="00000000" w:rsidRDefault="00000000">
            <w:r>
              <w:rPr>
                <w:lang w:val="es-PE" w:eastAsia="es-PE"/>
              </w:rPr>
              <w:pict w14:anchorId="1D48C008">
                <v:shape id="_x0000_i1037" type="#_x0000_t75" style="width:229.2pt;height:14.4pt" filled="t">
                  <v:fill opacity="0" color2="black"/>
                  <v:imagedata r:id="rId24" o:title="" croptop="-163f" cropbottom="-163f" cropleft="-10f" cropright="-10f"/>
                </v:shape>
              </w:pict>
            </w:r>
          </w:p>
        </w:tc>
        <w:tc>
          <w:tcPr>
            <w:tcW w:w="450" w:type="dxa"/>
          </w:tcPr>
          <w:p w14:paraId="4376B0AC" w14:textId="77777777" w:rsidR="00000000" w:rsidRDefault="00000000">
            <w:r>
              <w:t>(</w:t>
            </w:r>
            <w:r>
              <w:fldChar w:fldCharType="begin"/>
            </w:r>
            <w:r>
              <w:instrText xml:space="preserve"> SEQ "Ecu" \* ARABIC </w:instrText>
            </w:r>
            <w:r>
              <w:fldChar w:fldCharType="separate"/>
            </w:r>
            <w:r>
              <w:t>4</w:t>
            </w:r>
            <w:r>
              <w:fldChar w:fldCharType="end"/>
            </w:r>
            <w:r>
              <w:t>)</w:t>
            </w:r>
          </w:p>
        </w:tc>
      </w:tr>
    </w:tbl>
    <w:p w14:paraId="1A2D125F" w14:textId="77777777" w:rsidR="00000000" w:rsidRDefault="00000000">
      <w:pPr>
        <w:snapToGrid w:val="0"/>
        <w:ind w:firstLine="360"/>
        <w:jc w:val="both"/>
        <w:rPr>
          <w:rFonts w:ascii="Times New Roman" w:hAnsi="Times New Roman" w:cs="Times New Roman"/>
          <w:lang w:val="en-US"/>
        </w:rPr>
      </w:pPr>
    </w:p>
    <w:p w14:paraId="4E268514" w14:textId="77777777" w:rsidR="00000000" w:rsidRDefault="00000000">
      <w:pPr>
        <w:snapToGrid w:val="0"/>
        <w:ind w:firstLine="360"/>
        <w:jc w:val="both"/>
        <w:rPr>
          <w:rFonts w:ascii="Times New Roman" w:hAnsi="Times New Roman" w:cs="Times New Roman"/>
          <w:lang w:val="en-US"/>
        </w:rPr>
      </w:pPr>
      <w:r>
        <w:rPr>
          <w:rFonts w:ascii="Times New Roman" w:hAnsi="Times New Roman" w:cs="Times New Roman"/>
          <w:lang w:val="en-US"/>
        </w:rPr>
        <w:t xml:space="preserve">where (\sigma) denotes the logistic function, and (w) and (b) are the parameters estimated by Logistic Regression. </w:t>
      </w:r>
    </w:p>
    <w:p w14:paraId="36CC1D71" w14:textId="77777777" w:rsidR="00000000" w:rsidRDefault="00000000">
      <w:pPr>
        <w:snapToGrid w:val="0"/>
        <w:ind w:firstLine="360"/>
        <w:jc w:val="both"/>
      </w:pPr>
      <w:r>
        <w:rPr>
          <w:rFonts w:ascii="Times New Roman" w:hAnsi="Times New Roman" w:cs="Times New Roman"/>
          <w:lang w:val="en-US"/>
        </w:rPr>
        <w:t>This training was performed exclusively on the out-of-fold predictions of the five base models across four temporal folds, thereby avoiding overfitting bias. For inference, the base models were retrained using the entire training set while keeping the meta-model fixed.</w:t>
      </w:r>
    </w:p>
    <w:p w14:paraId="4F925556" w14:textId="77777777" w:rsidR="00000000" w:rsidRDefault="00000000">
      <w:pPr>
        <w:pStyle w:val="Ttulo3"/>
        <w:ind w:firstLine="0"/>
        <w:rPr>
          <w:rFonts w:ascii="Times New Roman" w:hAnsi="Times New Roman" w:cs="Times New Roman"/>
        </w:rPr>
      </w:pPr>
      <w:r>
        <w:t>4) Evaluation Protocol</w:t>
      </w:r>
    </w:p>
    <w:p w14:paraId="3BE0A38D" w14:textId="77777777" w:rsidR="00000000" w:rsidRDefault="00000000">
      <w:pPr>
        <w:snapToGrid w:val="0"/>
        <w:ind w:firstLine="360"/>
        <w:jc w:val="both"/>
        <w:rPr>
          <w:rFonts w:ascii="Times New Roman" w:hAnsi="Times New Roman" w:cs="Times New Roman"/>
          <w:lang w:val="en-US"/>
        </w:rPr>
      </w:pPr>
      <w:r>
        <w:rPr>
          <w:rFonts w:ascii="Times New Roman" w:hAnsi="Times New Roman" w:cs="Times New Roman"/>
          <w:lang w:val="en-US"/>
        </w:rPr>
        <w:t>The proposed classifier was selected after comparing the F1-score and ROC-AUC metrics on the 2024 validation block, with LightGBM identified as the primary model.</w:t>
      </w:r>
    </w:p>
    <w:p w14:paraId="33EF33DC" w14:textId="77777777" w:rsidR="00000000" w:rsidRDefault="00000000">
      <w:pPr>
        <w:snapToGrid w:val="0"/>
        <w:ind w:firstLine="360"/>
        <w:jc w:val="both"/>
        <w:rPr>
          <w:rFonts w:ascii="Times New Roman" w:hAnsi="Times New Roman" w:cs="Times New Roman"/>
          <w:lang w:val="en-US"/>
        </w:rPr>
      </w:pPr>
      <w:r>
        <w:rPr>
          <w:rFonts w:ascii="Times New Roman" w:hAnsi="Times New Roman" w:cs="Times New Roman"/>
          <w:lang w:val="en-US"/>
        </w:rPr>
        <w:t>The decision threshold was calibrated through a fine-grained grid search (91 values within the range [0.05, 0.95]), maximizing the F1-score on the validation set, which yielded an optimal cutoff of (\tau = 0.66). In parallel, alternative thresholds (Youden's J index, target precision, and target recall) were estimated for operational sensitivity analysis.</w:t>
      </w:r>
    </w:p>
    <w:p w14:paraId="7AA55E61" w14:textId="77777777" w:rsidR="00000000" w:rsidRDefault="00000000">
      <w:pPr>
        <w:snapToGrid w:val="0"/>
        <w:ind w:firstLine="360"/>
        <w:jc w:val="both"/>
        <w:rPr>
          <w:rFonts w:ascii="Times New Roman" w:hAnsi="Times New Roman" w:cs="Times New Roman"/>
          <w:lang w:val="en-US"/>
        </w:rPr>
      </w:pPr>
      <w:r>
        <w:rPr>
          <w:rFonts w:ascii="Times New Roman" w:hAnsi="Times New Roman" w:cs="Times New Roman"/>
          <w:lang w:val="en-US"/>
        </w:rPr>
        <w:t>The final predictive performance was formally reported on the 2025 test set and the 2026 exploratory block using an extended set of evaluation metrics: accuracy, precision, recall, F1-score, ROC-AUC, PR-AUC, balanced accuracy, specificity, Matthews correlation coefficient (MCC), Cohen's kappa, negative predictive value (NPV), false positive rate (FPR), false negative rate (FNR), and likelihood ratios (LR+ and LR−).</w:t>
      </w:r>
    </w:p>
    <w:p w14:paraId="352298D0" w14:textId="77777777" w:rsidR="00000000" w:rsidRDefault="00000000">
      <w:pPr>
        <w:snapToGrid w:val="0"/>
        <w:ind w:firstLine="360"/>
        <w:jc w:val="both"/>
        <w:rPr>
          <w:b/>
          <w:bCs/>
        </w:rPr>
      </w:pPr>
      <w:r>
        <w:rPr>
          <w:rFonts w:ascii="Times New Roman" w:hAnsi="Times New Roman" w:cs="Times New Roman"/>
          <w:lang w:val="en-US"/>
        </w:rPr>
        <w:t>All estimators were complemented with 95% confidence intervals obtained through bootstrap resampling, probabilistic calibration curves, and temporal feature drift analysis using the Population Stability Index (PSI) with respect to the baseline training block.</w:t>
      </w:r>
    </w:p>
    <w:p w14:paraId="0B4D3ADC" w14:textId="77777777" w:rsidR="00000000" w:rsidRDefault="00000000">
      <w:pPr>
        <w:pStyle w:val="TableCaption"/>
        <w:rPr>
          <w:b/>
          <w:bCs/>
          <w:lang w:val="es-PE"/>
        </w:rPr>
      </w:pPr>
      <w:r>
        <w:rPr>
          <w:b/>
          <w:bCs/>
        </w:rPr>
        <w:t xml:space="preserve">TABLE IX. </w:t>
      </w:r>
      <w:r>
        <w:t>PERFORMANCE OF THE FINAL MODEL (LIGHTGBM, THRESHOLD = 0.66) ACROSS TEMPORAL PARTITIONS</w:t>
      </w:r>
    </w:p>
    <w:tbl>
      <w:tblPr>
        <w:tblW w:w="0" w:type="auto"/>
        <w:jc w:val="center"/>
        <w:tblLayout w:type="fixed"/>
        <w:tblLook w:val="0000" w:firstRow="0" w:lastRow="0" w:firstColumn="0" w:lastColumn="0" w:noHBand="0" w:noVBand="0"/>
      </w:tblPr>
      <w:tblGrid>
        <w:gridCol w:w="1701"/>
        <w:gridCol w:w="1297"/>
        <w:gridCol w:w="870"/>
        <w:gridCol w:w="1172"/>
      </w:tblGrid>
      <w:tr w:rsidR="00000000" w14:paraId="52628E8A" w14:textId="77777777">
        <w:trPr>
          <w:jc w:val="center"/>
        </w:trPr>
        <w:tc>
          <w:tcPr>
            <w:tcW w:w="1701" w:type="dxa"/>
            <w:tcBorders>
              <w:bottom w:val="single" w:sz="4" w:space="0" w:color="000000"/>
            </w:tcBorders>
            <w:vAlign w:val="center"/>
          </w:tcPr>
          <w:p w14:paraId="2CD7AE7D" w14:textId="77777777" w:rsidR="00000000" w:rsidRDefault="00000000">
            <w:pPr>
              <w:snapToGrid w:val="0"/>
              <w:spacing w:before="36" w:after="36"/>
            </w:pPr>
            <w:r>
              <w:rPr>
                <w:rFonts w:ascii="Times New Roman" w:hAnsi="Times New Roman" w:cs="Times New Roman"/>
                <w:b/>
                <w:bCs/>
                <w:sz w:val="16"/>
                <w:szCs w:val="16"/>
                <w:lang w:val="es-PE"/>
              </w:rPr>
              <w:t>Metric</w:t>
            </w:r>
          </w:p>
        </w:tc>
        <w:tc>
          <w:tcPr>
            <w:tcW w:w="1297" w:type="dxa"/>
            <w:tcBorders>
              <w:bottom w:val="single" w:sz="4" w:space="0" w:color="000000"/>
            </w:tcBorders>
            <w:vAlign w:val="center"/>
          </w:tcPr>
          <w:p w14:paraId="694DBD76" w14:textId="77777777" w:rsidR="00000000" w:rsidRDefault="00000000">
            <w:pPr>
              <w:snapToGrid w:val="0"/>
              <w:spacing w:before="36" w:after="36"/>
            </w:pPr>
            <w:r>
              <w:rPr>
                <w:rFonts w:ascii="Times New Roman" w:hAnsi="Times New Roman" w:cs="Times New Roman"/>
                <w:b/>
                <w:bCs/>
                <w:sz w:val="16"/>
                <w:szCs w:val="16"/>
                <w:lang w:val="es-PE"/>
              </w:rPr>
              <w:t>Validation 2024</w:t>
            </w:r>
          </w:p>
        </w:tc>
        <w:tc>
          <w:tcPr>
            <w:tcW w:w="870" w:type="dxa"/>
            <w:tcBorders>
              <w:bottom w:val="single" w:sz="4" w:space="0" w:color="000000"/>
            </w:tcBorders>
            <w:vAlign w:val="center"/>
          </w:tcPr>
          <w:p w14:paraId="666A3FB7" w14:textId="77777777" w:rsidR="00000000" w:rsidRDefault="00000000">
            <w:pPr>
              <w:snapToGrid w:val="0"/>
              <w:spacing w:before="36" w:after="36"/>
            </w:pPr>
            <w:r>
              <w:rPr>
                <w:rFonts w:ascii="Times New Roman" w:hAnsi="Times New Roman" w:cs="Times New Roman"/>
                <w:b/>
                <w:bCs/>
                <w:sz w:val="16"/>
                <w:szCs w:val="16"/>
                <w:lang w:val="es-PE"/>
              </w:rPr>
              <w:t>Test 2025</w:t>
            </w:r>
          </w:p>
        </w:tc>
        <w:tc>
          <w:tcPr>
            <w:tcW w:w="1172" w:type="dxa"/>
            <w:tcBorders>
              <w:bottom w:val="single" w:sz="4" w:space="0" w:color="000000"/>
            </w:tcBorders>
            <w:vAlign w:val="center"/>
          </w:tcPr>
          <w:p w14:paraId="151B463F" w14:textId="77777777" w:rsidR="00000000" w:rsidRDefault="00000000">
            <w:pPr>
              <w:snapToGrid w:val="0"/>
              <w:spacing w:before="36" w:after="36"/>
            </w:pPr>
            <w:r>
              <w:rPr>
                <w:rFonts w:ascii="Times New Roman" w:hAnsi="Times New Roman" w:cs="Times New Roman"/>
                <w:b/>
                <w:bCs/>
                <w:sz w:val="16"/>
                <w:szCs w:val="16"/>
                <w:lang w:val="es-PE"/>
              </w:rPr>
              <w:t>External 2026</w:t>
            </w:r>
          </w:p>
        </w:tc>
      </w:tr>
      <w:tr w:rsidR="00000000" w14:paraId="31F06CE0" w14:textId="77777777">
        <w:trPr>
          <w:jc w:val="center"/>
        </w:trPr>
        <w:tc>
          <w:tcPr>
            <w:tcW w:w="1701" w:type="dxa"/>
            <w:vAlign w:val="center"/>
          </w:tcPr>
          <w:p w14:paraId="2A03320E" w14:textId="77777777" w:rsidR="00000000" w:rsidRDefault="00000000">
            <w:pPr>
              <w:snapToGrid w:val="0"/>
              <w:spacing w:before="36" w:after="36"/>
            </w:pPr>
            <w:r>
              <w:rPr>
                <w:rFonts w:ascii="Times New Roman" w:hAnsi="Times New Roman" w:cs="Times New Roman"/>
                <w:sz w:val="16"/>
                <w:szCs w:val="16"/>
                <w:lang w:val="es-PE"/>
              </w:rPr>
              <w:t>Accuracy</w:t>
            </w:r>
          </w:p>
        </w:tc>
        <w:tc>
          <w:tcPr>
            <w:tcW w:w="1297" w:type="dxa"/>
            <w:vAlign w:val="center"/>
          </w:tcPr>
          <w:p w14:paraId="57A40878" w14:textId="77777777" w:rsidR="00000000" w:rsidRDefault="00000000">
            <w:pPr>
              <w:snapToGrid w:val="0"/>
              <w:spacing w:before="36" w:after="36"/>
            </w:pPr>
            <w:r>
              <w:rPr>
                <w:rFonts w:ascii="Times New Roman" w:hAnsi="Times New Roman" w:cs="Times New Roman"/>
                <w:sz w:val="16"/>
                <w:szCs w:val="16"/>
                <w:lang w:val="es-PE"/>
              </w:rPr>
              <w:t>0.890</w:t>
            </w:r>
          </w:p>
        </w:tc>
        <w:tc>
          <w:tcPr>
            <w:tcW w:w="870" w:type="dxa"/>
            <w:vAlign w:val="center"/>
          </w:tcPr>
          <w:p w14:paraId="4AE5C513" w14:textId="77777777" w:rsidR="00000000" w:rsidRDefault="00000000">
            <w:pPr>
              <w:snapToGrid w:val="0"/>
              <w:spacing w:before="36" w:after="36"/>
            </w:pPr>
            <w:r>
              <w:rPr>
                <w:rFonts w:ascii="Times New Roman" w:hAnsi="Times New Roman" w:cs="Times New Roman"/>
                <w:sz w:val="16"/>
                <w:szCs w:val="16"/>
                <w:lang w:val="es-PE"/>
              </w:rPr>
              <w:t>0.862</w:t>
            </w:r>
          </w:p>
        </w:tc>
        <w:tc>
          <w:tcPr>
            <w:tcW w:w="1172" w:type="dxa"/>
            <w:vAlign w:val="center"/>
          </w:tcPr>
          <w:p w14:paraId="6BC64FCD" w14:textId="77777777" w:rsidR="00000000" w:rsidRDefault="00000000">
            <w:pPr>
              <w:snapToGrid w:val="0"/>
              <w:spacing w:before="36" w:after="36"/>
            </w:pPr>
            <w:r>
              <w:rPr>
                <w:rFonts w:ascii="Times New Roman" w:hAnsi="Times New Roman" w:cs="Times New Roman"/>
                <w:sz w:val="16"/>
                <w:szCs w:val="16"/>
                <w:lang w:val="es-PE"/>
              </w:rPr>
              <w:t>0.842</w:t>
            </w:r>
          </w:p>
        </w:tc>
      </w:tr>
      <w:tr w:rsidR="00000000" w14:paraId="2E2A89D2" w14:textId="77777777">
        <w:trPr>
          <w:jc w:val="center"/>
        </w:trPr>
        <w:tc>
          <w:tcPr>
            <w:tcW w:w="1701" w:type="dxa"/>
            <w:vAlign w:val="center"/>
          </w:tcPr>
          <w:p w14:paraId="6F8D9B86" w14:textId="77777777" w:rsidR="00000000" w:rsidRDefault="00000000">
            <w:pPr>
              <w:snapToGrid w:val="0"/>
              <w:spacing w:before="36" w:after="36"/>
            </w:pPr>
            <w:r>
              <w:rPr>
                <w:rFonts w:ascii="Times New Roman" w:hAnsi="Times New Roman" w:cs="Times New Roman"/>
                <w:sz w:val="16"/>
                <w:szCs w:val="16"/>
                <w:lang w:val="es-PE"/>
              </w:rPr>
              <w:t>Precision</w:t>
            </w:r>
          </w:p>
        </w:tc>
        <w:tc>
          <w:tcPr>
            <w:tcW w:w="1297" w:type="dxa"/>
            <w:vAlign w:val="center"/>
          </w:tcPr>
          <w:p w14:paraId="26944ED4" w14:textId="77777777" w:rsidR="00000000" w:rsidRDefault="00000000">
            <w:pPr>
              <w:snapToGrid w:val="0"/>
              <w:spacing w:before="36" w:after="36"/>
            </w:pPr>
            <w:r>
              <w:rPr>
                <w:rFonts w:ascii="Times New Roman" w:hAnsi="Times New Roman" w:cs="Times New Roman"/>
                <w:sz w:val="16"/>
                <w:szCs w:val="16"/>
                <w:lang w:val="es-PE"/>
              </w:rPr>
              <w:t>0.576</w:t>
            </w:r>
          </w:p>
        </w:tc>
        <w:tc>
          <w:tcPr>
            <w:tcW w:w="870" w:type="dxa"/>
            <w:vAlign w:val="center"/>
          </w:tcPr>
          <w:p w14:paraId="22A0EB44" w14:textId="77777777" w:rsidR="00000000" w:rsidRDefault="00000000">
            <w:pPr>
              <w:snapToGrid w:val="0"/>
              <w:spacing w:before="36" w:after="36"/>
            </w:pPr>
            <w:r>
              <w:rPr>
                <w:rFonts w:ascii="Times New Roman" w:hAnsi="Times New Roman" w:cs="Times New Roman"/>
                <w:sz w:val="16"/>
                <w:szCs w:val="16"/>
                <w:lang w:val="es-PE"/>
              </w:rPr>
              <w:t>0.525</w:t>
            </w:r>
          </w:p>
        </w:tc>
        <w:tc>
          <w:tcPr>
            <w:tcW w:w="1172" w:type="dxa"/>
            <w:vAlign w:val="center"/>
          </w:tcPr>
          <w:p w14:paraId="126E57CA" w14:textId="77777777" w:rsidR="00000000" w:rsidRDefault="00000000">
            <w:pPr>
              <w:snapToGrid w:val="0"/>
              <w:spacing w:before="36" w:after="36"/>
            </w:pPr>
            <w:r>
              <w:rPr>
                <w:rFonts w:ascii="Times New Roman" w:hAnsi="Times New Roman" w:cs="Times New Roman"/>
                <w:sz w:val="16"/>
                <w:szCs w:val="16"/>
                <w:lang w:val="es-PE"/>
              </w:rPr>
              <w:t>0.644</w:t>
            </w:r>
          </w:p>
        </w:tc>
      </w:tr>
      <w:tr w:rsidR="00000000" w14:paraId="555D624A" w14:textId="77777777">
        <w:trPr>
          <w:jc w:val="center"/>
        </w:trPr>
        <w:tc>
          <w:tcPr>
            <w:tcW w:w="1701" w:type="dxa"/>
            <w:vAlign w:val="center"/>
          </w:tcPr>
          <w:p w14:paraId="30F601ED" w14:textId="77777777" w:rsidR="00000000" w:rsidRDefault="00000000">
            <w:pPr>
              <w:snapToGrid w:val="0"/>
              <w:spacing w:before="36" w:after="36"/>
            </w:pPr>
            <w:r>
              <w:rPr>
                <w:rFonts w:ascii="Times New Roman" w:hAnsi="Times New Roman" w:cs="Times New Roman"/>
                <w:sz w:val="16"/>
                <w:szCs w:val="16"/>
                <w:lang w:val="es-PE"/>
              </w:rPr>
              <w:t>Recall</w:t>
            </w:r>
          </w:p>
        </w:tc>
        <w:tc>
          <w:tcPr>
            <w:tcW w:w="1297" w:type="dxa"/>
            <w:vAlign w:val="center"/>
          </w:tcPr>
          <w:p w14:paraId="68B4A342" w14:textId="77777777" w:rsidR="00000000" w:rsidRDefault="00000000">
            <w:pPr>
              <w:snapToGrid w:val="0"/>
              <w:spacing w:before="36" w:after="36"/>
            </w:pPr>
            <w:r>
              <w:rPr>
                <w:rFonts w:ascii="Times New Roman" w:hAnsi="Times New Roman" w:cs="Times New Roman"/>
                <w:sz w:val="16"/>
                <w:szCs w:val="16"/>
                <w:lang w:val="es-PE"/>
              </w:rPr>
              <w:t>0.667</w:t>
            </w:r>
          </w:p>
        </w:tc>
        <w:tc>
          <w:tcPr>
            <w:tcW w:w="870" w:type="dxa"/>
            <w:vAlign w:val="center"/>
          </w:tcPr>
          <w:p w14:paraId="74E803B9" w14:textId="77777777" w:rsidR="00000000" w:rsidRDefault="00000000">
            <w:pPr>
              <w:snapToGrid w:val="0"/>
              <w:spacing w:before="36" w:after="36"/>
            </w:pPr>
            <w:r>
              <w:rPr>
                <w:rFonts w:ascii="Times New Roman" w:hAnsi="Times New Roman" w:cs="Times New Roman"/>
                <w:sz w:val="16"/>
                <w:szCs w:val="16"/>
                <w:lang w:val="es-PE"/>
              </w:rPr>
              <w:t>0.424</w:t>
            </w:r>
          </w:p>
        </w:tc>
        <w:tc>
          <w:tcPr>
            <w:tcW w:w="1172" w:type="dxa"/>
            <w:vAlign w:val="center"/>
          </w:tcPr>
          <w:p w14:paraId="03E3CDDE" w14:textId="77777777" w:rsidR="00000000" w:rsidRDefault="00000000">
            <w:pPr>
              <w:snapToGrid w:val="0"/>
              <w:spacing w:before="36" w:after="36"/>
            </w:pPr>
            <w:r>
              <w:rPr>
                <w:rFonts w:ascii="Times New Roman" w:hAnsi="Times New Roman" w:cs="Times New Roman"/>
                <w:sz w:val="16"/>
                <w:szCs w:val="16"/>
                <w:lang w:val="es-PE"/>
              </w:rPr>
              <w:t>0.493</w:t>
            </w:r>
          </w:p>
        </w:tc>
      </w:tr>
      <w:tr w:rsidR="00000000" w14:paraId="76DFDA0B" w14:textId="77777777">
        <w:trPr>
          <w:jc w:val="center"/>
        </w:trPr>
        <w:tc>
          <w:tcPr>
            <w:tcW w:w="1701" w:type="dxa"/>
            <w:vAlign w:val="center"/>
          </w:tcPr>
          <w:p w14:paraId="7A9083E6" w14:textId="77777777" w:rsidR="00000000" w:rsidRDefault="00000000">
            <w:pPr>
              <w:snapToGrid w:val="0"/>
              <w:spacing w:before="36" w:after="36"/>
            </w:pPr>
            <w:r>
              <w:rPr>
                <w:rFonts w:ascii="Times New Roman" w:hAnsi="Times New Roman" w:cs="Times New Roman"/>
                <w:sz w:val="16"/>
                <w:szCs w:val="16"/>
                <w:lang w:val="es-PE"/>
              </w:rPr>
              <w:t>F1-score</w:t>
            </w:r>
          </w:p>
        </w:tc>
        <w:tc>
          <w:tcPr>
            <w:tcW w:w="1297" w:type="dxa"/>
            <w:vAlign w:val="center"/>
          </w:tcPr>
          <w:p w14:paraId="152118A7" w14:textId="77777777" w:rsidR="00000000" w:rsidRDefault="00000000">
            <w:pPr>
              <w:snapToGrid w:val="0"/>
              <w:spacing w:before="36" w:after="36"/>
            </w:pPr>
            <w:r>
              <w:rPr>
                <w:rFonts w:ascii="Times New Roman" w:hAnsi="Times New Roman" w:cs="Times New Roman"/>
                <w:sz w:val="16"/>
                <w:szCs w:val="16"/>
                <w:lang w:val="es-PE"/>
              </w:rPr>
              <w:t>0.618</w:t>
            </w:r>
          </w:p>
        </w:tc>
        <w:tc>
          <w:tcPr>
            <w:tcW w:w="870" w:type="dxa"/>
            <w:vAlign w:val="center"/>
          </w:tcPr>
          <w:p w14:paraId="31BB6927" w14:textId="77777777" w:rsidR="00000000" w:rsidRDefault="00000000">
            <w:pPr>
              <w:snapToGrid w:val="0"/>
              <w:spacing w:before="36" w:after="36"/>
            </w:pPr>
            <w:r>
              <w:rPr>
                <w:rFonts w:ascii="Times New Roman" w:hAnsi="Times New Roman" w:cs="Times New Roman"/>
                <w:sz w:val="16"/>
                <w:szCs w:val="16"/>
                <w:lang w:val="es-PE"/>
              </w:rPr>
              <w:t>0.469</w:t>
            </w:r>
          </w:p>
        </w:tc>
        <w:tc>
          <w:tcPr>
            <w:tcW w:w="1172" w:type="dxa"/>
            <w:vAlign w:val="center"/>
          </w:tcPr>
          <w:p w14:paraId="7DBDD6A1" w14:textId="77777777" w:rsidR="00000000" w:rsidRDefault="00000000">
            <w:pPr>
              <w:snapToGrid w:val="0"/>
              <w:spacing w:before="36" w:after="36"/>
            </w:pPr>
            <w:r>
              <w:rPr>
                <w:rFonts w:ascii="Times New Roman" w:hAnsi="Times New Roman" w:cs="Times New Roman"/>
                <w:sz w:val="16"/>
                <w:szCs w:val="16"/>
                <w:lang w:val="es-PE"/>
              </w:rPr>
              <w:t>0.559</w:t>
            </w:r>
          </w:p>
        </w:tc>
      </w:tr>
      <w:tr w:rsidR="00000000" w14:paraId="209E0E3E" w14:textId="77777777">
        <w:trPr>
          <w:jc w:val="center"/>
        </w:trPr>
        <w:tc>
          <w:tcPr>
            <w:tcW w:w="1701" w:type="dxa"/>
            <w:vAlign w:val="center"/>
          </w:tcPr>
          <w:p w14:paraId="04BCC612" w14:textId="77777777" w:rsidR="00000000" w:rsidRDefault="00000000">
            <w:pPr>
              <w:snapToGrid w:val="0"/>
              <w:spacing w:before="36" w:after="36"/>
            </w:pPr>
            <w:r>
              <w:rPr>
                <w:rFonts w:ascii="Times New Roman" w:hAnsi="Times New Roman" w:cs="Times New Roman"/>
                <w:sz w:val="16"/>
                <w:szCs w:val="16"/>
                <w:lang w:val="es-PE"/>
              </w:rPr>
              <w:t>ROC-AUC</w:t>
            </w:r>
          </w:p>
        </w:tc>
        <w:tc>
          <w:tcPr>
            <w:tcW w:w="1297" w:type="dxa"/>
            <w:vAlign w:val="center"/>
          </w:tcPr>
          <w:p w14:paraId="59074D92" w14:textId="77777777" w:rsidR="00000000" w:rsidRDefault="00000000">
            <w:pPr>
              <w:snapToGrid w:val="0"/>
              <w:spacing w:before="36" w:after="36"/>
            </w:pPr>
            <w:r>
              <w:rPr>
                <w:rFonts w:ascii="Times New Roman" w:hAnsi="Times New Roman" w:cs="Times New Roman"/>
                <w:sz w:val="16"/>
                <w:szCs w:val="16"/>
                <w:lang w:val="es-PE"/>
              </w:rPr>
              <w:t>0.897</w:t>
            </w:r>
          </w:p>
        </w:tc>
        <w:tc>
          <w:tcPr>
            <w:tcW w:w="870" w:type="dxa"/>
            <w:vAlign w:val="center"/>
          </w:tcPr>
          <w:p w14:paraId="0837BA40" w14:textId="77777777" w:rsidR="00000000" w:rsidRDefault="00000000">
            <w:pPr>
              <w:snapToGrid w:val="0"/>
              <w:spacing w:before="36" w:after="36"/>
            </w:pPr>
            <w:r>
              <w:rPr>
                <w:rFonts w:ascii="Times New Roman" w:hAnsi="Times New Roman" w:cs="Times New Roman"/>
                <w:sz w:val="16"/>
                <w:szCs w:val="16"/>
                <w:lang w:val="es-PE"/>
              </w:rPr>
              <w:t>0.798</w:t>
            </w:r>
          </w:p>
        </w:tc>
        <w:tc>
          <w:tcPr>
            <w:tcW w:w="1172" w:type="dxa"/>
            <w:vAlign w:val="center"/>
          </w:tcPr>
          <w:p w14:paraId="5CF0E56A" w14:textId="77777777" w:rsidR="00000000" w:rsidRDefault="00000000">
            <w:pPr>
              <w:snapToGrid w:val="0"/>
              <w:spacing w:before="36" w:after="36"/>
            </w:pPr>
            <w:r>
              <w:rPr>
                <w:rFonts w:ascii="Times New Roman" w:hAnsi="Times New Roman" w:cs="Times New Roman"/>
                <w:sz w:val="16"/>
                <w:szCs w:val="16"/>
                <w:lang w:val="es-PE"/>
              </w:rPr>
              <w:t>0.866</w:t>
            </w:r>
          </w:p>
        </w:tc>
      </w:tr>
      <w:tr w:rsidR="00000000" w14:paraId="1CBBA833" w14:textId="77777777">
        <w:trPr>
          <w:jc w:val="center"/>
        </w:trPr>
        <w:tc>
          <w:tcPr>
            <w:tcW w:w="1701" w:type="dxa"/>
            <w:vAlign w:val="center"/>
          </w:tcPr>
          <w:p w14:paraId="6A95283A" w14:textId="77777777" w:rsidR="00000000" w:rsidRDefault="00000000">
            <w:pPr>
              <w:snapToGrid w:val="0"/>
              <w:spacing w:before="36" w:after="36"/>
            </w:pPr>
            <w:r>
              <w:rPr>
                <w:rFonts w:ascii="Times New Roman" w:hAnsi="Times New Roman" w:cs="Times New Roman"/>
                <w:sz w:val="16"/>
                <w:szCs w:val="16"/>
                <w:lang w:val="es-PE"/>
              </w:rPr>
              <w:t>PR-AUC</w:t>
            </w:r>
          </w:p>
        </w:tc>
        <w:tc>
          <w:tcPr>
            <w:tcW w:w="1297" w:type="dxa"/>
            <w:vAlign w:val="center"/>
          </w:tcPr>
          <w:p w14:paraId="773532C0" w14:textId="77777777" w:rsidR="00000000" w:rsidRDefault="00000000">
            <w:pPr>
              <w:snapToGrid w:val="0"/>
              <w:spacing w:before="36" w:after="36"/>
            </w:pPr>
            <w:r>
              <w:rPr>
                <w:rFonts w:ascii="Times New Roman" w:hAnsi="Times New Roman" w:cs="Times New Roman"/>
                <w:sz w:val="16"/>
                <w:szCs w:val="16"/>
                <w:lang w:val="es-PE"/>
              </w:rPr>
              <w:t>0.625</w:t>
            </w:r>
          </w:p>
        </w:tc>
        <w:tc>
          <w:tcPr>
            <w:tcW w:w="870" w:type="dxa"/>
            <w:vAlign w:val="center"/>
          </w:tcPr>
          <w:p w14:paraId="4EE8EF5A" w14:textId="77777777" w:rsidR="00000000" w:rsidRDefault="00000000">
            <w:pPr>
              <w:snapToGrid w:val="0"/>
              <w:spacing w:before="36" w:after="36"/>
            </w:pPr>
            <w:r>
              <w:rPr>
                <w:rFonts w:ascii="Times New Roman" w:hAnsi="Times New Roman" w:cs="Times New Roman"/>
                <w:sz w:val="16"/>
                <w:szCs w:val="16"/>
                <w:lang w:val="es-PE"/>
              </w:rPr>
              <w:t>0.499</w:t>
            </w:r>
          </w:p>
        </w:tc>
        <w:tc>
          <w:tcPr>
            <w:tcW w:w="1172" w:type="dxa"/>
            <w:vAlign w:val="center"/>
          </w:tcPr>
          <w:p w14:paraId="5933366C" w14:textId="77777777" w:rsidR="00000000" w:rsidRDefault="00000000">
            <w:pPr>
              <w:snapToGrid w:val="0"/>
              <w:spacing w:before="36" w:after="36"/>
            </w:pPr>
            <w:r>
              <w:rPr>
                <w:rFonts w:ascii="Times New Roman" w:hAnsi="Times New Roman" w:cs="Times New Roman"/>
                <w:sz w:val="16"/>
                <w:szCs w:val="16"/>
                <w:lang w:val="es-PE"/>
              </w:rPr>
              <w:t>0.652</w:t>
            </w:r>
          </w:p>
        </w:tc>
      </w:tr>
      <w:tr w:rsidR="00000000" w14:paraId="65B2610F" w14:textId="77777777">
        <w:trPr>
          <w:jc w:val="center"/>
        </w:trPr>
        <w:tc>
          <w:tcPr>
            <w:tcW w:w="1701" w:type="dxa"/>
            <w:vAlign w:val="center"/>
          </w:tcPr>
          <w:p w14:paraId="663073A2" w14:textId="77777777" w:rsidR="00000000" w:rsidRDefault="00000000">
            <w:pPr>
              <w:snapToGrid w:val="0"/>
              <w:spacing w:before="36" w:after="36"/>
            </w:pPr>
            <w:r>
              <w:rPr>
                <w:rFonts w:ascii="Times New Roman" w:hAnsi="Times New Roman" w:cs="Times New Roman"/>
                <w:sz w:val="16"/>
                <w:szCs w:val="16"/>
                <w:lang w:val="es-PE"/>
              </w:rPr>
              <w:t>Matthews Correlation Coefficient (MCC)</w:t>
            </w:r>
          </w:p>
        </w:tc>
        <w:tc>
          <w:tcPr>
            <w:tcW w:w="1297" w:type="dxa"/>
            <w:vAlign w:val="center"/>
          </w:tcPr>
          <w:p w14:paraId="6BD0F626" w14:textId="77777777" w:rsidR="00000000" w:rsidRDefault="00000000">
            <w:pPr>
              <w:snapToGrid w:val="0"/>
              <w:spacing w:before="36" w:after="36"/>
            </w:pPr>
            <w:r>
              <w:rPr>
                <w:rFonts w:ascii="Times New Roman" w:hAnsi="Times New Roman" w:cs="Times New Roman"/>
                <w:sz w:val="16"/>
                <w:szCs w:val="16"/>
                <w:lang w:val="es-PE"/>
              </w:rPr>
              <w:t>0.556</w:t>
            </w:r>
          </w:p>
        </w:tc>
        <w:tc>
          <w:tcPr>
            <w:tcW w:w="870" w:type="dxa"/>
            <w:vAlign w:val="center"/>
          </w:tcPr>
          <w:p w14:paraId="4A800A03" w14:textId="77777777" w:rsidR="00000000" w:rsidRDefault="00000000">
            <w:pPr>
              <w:snapToGrid w:val="0"/>
              <w:spacing w:before="36" w:after="36"/>
            </w:pPr>
            <w:r>
              <w:rPr>
                <w:rFonts w:ascii="Times New Roman" w:hAnsi="Times New Roman" w:cs="Times New Roman"/>
                <w:sz w:val="16"/>
                <w:szCs w:val="16"/>
                <w:lang w:val="es-PE"/>
              </w:rPr>
              <w:t>0.394</w:t>
            </w:r>
          </w:p>
        </w:tc>
        <w:tc>
          <w:tcPr>
            <w:tcW w:w="1172" w:type="dxa"/>
            <w:vAlign w:val="center"/>
          </w:tcPr>
          <w:p w14:paraId="2D0CF8D2" w14:textId="77777777" w:rsidR="00000000" w:rsidRDefault="00000000">
            <w:pPr>
              <w:snapToGrid w:val="0"/>
              <w:spacing w:before="36" w:after="36"/>
            </w:pPr>
            <w:r>
              <w:rPr>
                <w:rFonts w:ascii="Times New Roman" w:hAnsi="Times New Roman" w:cs="Times New Roman"/>
                <w:sz w:val="16"/>
                <w:szCs w:val="16"/>
                <w:lang w:val="es-PE"/>
              </w:rPr>
              <w:t>0.471</w:t>
            </w:r>
          </w:p>
        </w:tc>
      </w:tr>
      <w:tr w:rsidR="00000000" w14:paraId="5490D1E0" w14:textId="77777777">
        <w:trPr>
          <w:jc w:val="center"/>
        </w:trPr>
        <w:tc>
          <w:tcPr>
            <w:tcW w:w="1701" w:type="dxa"/>
            <w:vAlign w:val="center"/>
          </w:tcPr>
          <w:p w14:paraId="07427550" w14:textId="77777777" w:rsidR="00000000" w:rsidRDefault="00000000">
            <w:pPr>
              <w:snapToGrid w:val="0"/>
              <w:spacing w:before="36" w:after="36"/>
            </w:pPr>
            <w:r>
              <w:rPr>
                <w:rFonts w:ascii="Times New Roman" w:hAnsi="Times New Roman" w:cs="Times New Roman"/>
                <w:sz w:val="16"/>
                <w:szCs w:val="16"/>
                <w:lang w:val="es-PE"/>
              </w:rPr>
              <w:t>Specificity</w:t>
            </w:r>
          </w:p>
        </w:tc>
        <w:tc>
          <w:tcPr>
            <w:tcW w:w="1297" w:type="dxa"/>
            <w:vAlign w:val="center"/>
          </w:tcPr>
          <w:p w14:paraId="1B9B3104" w14:textId="77777777" w:rsidR="00000000" w:rsidRDefault="00000000">
            <w:pPr>
              <w:snapToGrid w:val="0"/>
              <w:spacing w:before="36" w:after="36"/>
            </w:pPr>
            <w:r>
              <w:rPr>
                <w:rFonts w:ascii="Times New Roman" w:hAnsi="Times New Roman" w:cs="Times New Roman"/>
                <w:sz w:val="16"/>
                <w:szCs w:val="16"/>
                <w:lang w:val="es-PE"/>
              </w:rPr>
              <w:t>0.925</w:t>
            </w:r>
          </w:p>
        </w:tc>
        <w:tc>
          <w:tcPr>
            <w:tcW w:w="870" w:type="dxa"/>
            <w:vAlign w:val="center"/>
          </w:tcPr>
          <w:p w14:paraId="2BB42DB6" w14:textId="77777777" w:rsidR="00000000" w:rsidRDefault="00000000">
            <w:pPr>
              <w:snapToGrid w:val="0"/>
              <w:spacing w:before="36" w:after="36"/>
            </w:pPr>
            <w:r>
              <w:rPr>
                <w:rFonts w:ascii="Times New Roman" w:hAnsi="Times New Roman" w:cs="Times New Roman"/>
                <w:sz w:val="16"/>
                <w:szCs w:val="16"/>
                <w:lang w:val="es-PE"/>
              </w:rPr>
              <w:t>0.936</w:t>
            </w:r>
          </w:p>
        </w:tc>
        <w:tc>
          <w:tcPr>
            <w:tcW w:w="1172" w:type="dxa"/>
            <w:vAlign w:val="center"/>
          </w:tcPr>
          <w:p w14:paraId="3A4A6EFE" w14:textId="77777777" w:rsidR="00000000" w:rsidRDefault="00000000">
            <w:pPr>
              <w:snapToGrid w:val="0"/>
              <w:spacing w:before="36" w:after="36"/>
            </w:pPr>
            <w:r>
              <w:rPr>
                <w:rFonts w:ascii="Times New Roman" w:hAnsi="Times New Roman" w:cs="Times New Roman"/>
                <w:sz w:val="16"/>
                <w:szCs w:val="16"/>
                <w:lang w:val="es-PE"/>
              </w:rPr>
              <w:t>0.931</w:t>
            </w:r>
          </w:p>
        </w:tc>
      </w:tr>
    </w:tbl>
    <w:p w14:paraId="52D062C7" w14:textId="77777777" w:rsidR="00000000" w:rsidRDefault="00000000">
      <w:pPr>
        <w:pStyle w:val="Ttulo1"/>
      </w:pPr>
      <w:r>
        <w:t>IV. Results</w:t>
      </w:r>
    </w:p>
    <w:p w14:paraId="1F6A556B" w14:textId="77777777" w:rsidR="00000000" w:rsidRDefault="00000000">
      <w:pPr>
        <w:pStyle w:val="Ttulo2"/>
      </w:pPr>
      <w:r>
        <w:t>A. Comparison of Base Models and Ensembles</w:t>
      </w:r>
    </w:p>
    <w:p w14:paraId="4D5BBDA4" w14:textId="77777777" w:rsidR="00000000" w:rsidRDefault="00000000">
      <w:pPr>
        <w:ind w:firstLine="346"/>
        <w:jc w:val="both"/>
      </w:pPr>
      <w:r>
        <w:t>Table X summarizes the performance of the six base models and the two ensemble methods (</w:t>
      </w:r>
      <w:r>
        <w:rPr>
          <w:i/>
          <w:iCs/>
        </w:rPr>
        <w:t>VotingClassifier</w:t>
      </w:r>
      <w:r>
        <w:t xml:space="preserve"> and temporal </w:t>
      </w:r>
      <w:r>
        <w:rPr>
          <w:i/>
          <w:iCs/>
        </w:rPr>
        <w:t>Stacking</w:t>
      </w:r>
      <w:r>
        <w:t>) on the 2024 validation set and the 2025 test set, using a fixed decision threshold of 0.5.</w:t>
      </w:r>
    </w:p>
    <w:p w14:paraId="53871943" w14:textId="77777777" w:rsidR="00000000" w:rsidRDefault="00000000">
      <w:pPr>
        <w:ind w:firstLine="346"/>
        <w:jc w:val="both"/>
      </w:pPr>
    </w:p>
    <w:p w14:paraId="00E113A2" w14:textId="77777777" w:rsidR="00000000" w:rsidRDefault="00000000">
      <w:pPr>
        <w:pStyle w:val="TableCaption"/>
        <w:rPr>
          <w:b/>
          <w:bCs/>
          <w:lang w:val="es-PE"/>
        </w:rPr>
      </w:pPr>
      <w:r>
        <w:rPr>
          <w:b/>
          <w:bCs/>
        </w:rPr>
        <w:t xml:space="preserve">TABLE X. </w:t>
      </w:r>
      <w:r>
        <w:t>MODEL COMPARISON (THRESHOLD = 0.5)</w:t>
      </w:r>
    </w:p>
    <w:tbl>
      <w:tblPr>
        <w:tblW w:w="0" w:type="auto"/>
        <w:jc w:val="center"/>
        <w:tblLayout w:type="fixed"/>
        <w:tblLook w:val="0000" w:firstRow="0" w:lastRow="0" w:firstColumn="0" w:lastColumn="0" w:noHBand="0" w:noVBand="0"/>
      </w:tblPr>
      <w:tblGrid>
        <w:gridCol w:w="2154"/>
        <w:gridCol w:w="1154"/>
        <w:gridCol w:w="728"/>
        <w:gridCol w:w="1305"/>
      </w:tblGrid>
      <w:tr w:rsidR="00000000" w14:paraId="2D01B794" w14:textId="77777777">
        <w:trPr>
          <w:tblHeader/>
          <w:jc w:val="center"/>
        </w:trPr>
        <w:tc>
          <w:tcPr>
            <w:tcW w:w="2154" w:type="dxa"/>
            <w:tcBorders>
              <w:bottom w:val="single" w:sz="4" w:space="0" w:color="000000"/>
            </w:tcBorders>
            <w:vAlign w:val="center"/>
          </w:tcPr>
          <w:p w14:paraId="55BADDBB" w14:textId="77777777" w:rsidR="00000000" w:rsidRDefault="00000000">
            <w:pPr>
              <w:snapToGrid w:val="0"/>
              <w:spacing w:before="36" w:after="36"/>
            </w:pPr>
            <w:r>
              <w:rPr>
                <w:rFonts w:ascii="Times New Roman" w:hAnsi="Times New Roman" w:cs="Times New Roman"/>
                <w:b/>
                <w:bCs/>
                <w:sz w:val="16"/>
                <w:szCs w:val="16"/>
                <w:lang w:val="es-PE"/>
              </w:rPr>
              <w:t>Model</w:t>
            </w:r>
          </w:p>
        </w:tc>
        <w:tc>
          <w:tcPr>
            <w:tcW w:w="1154" w:type="dxa"/>
            <w:tcBorders>
              <w:bottom w:val="single" w:sz="4" w:space="0" w:color="000000"/>
            </w:tcBorders>
            <w:vAlign w:val="center"/>
          </w:tcPr>
          <w:p w14:paraId="7CD92B65" w14:textId="77777777" w:rsidR="00000000" w:rsidRDefault="00000000">
            <w:pPr>
              <w:snapToGrid w:val="0"/>
              <w:spacing w:before="36" w:after="36"/>
            </w:pPr>
            <w:r>
              <w:rPr>
                <w:rFonts w:ascii="Times New Roman" w:hAnsi="Times New Roman" w:cs="Times New Roman"/>
                <w:b/>
                <w:bCs/>
                <w:sz w:val="16"/>
                <w:szCs w:val="16"/>
                <w:lang w:val="es-PE"/>
              </w:rPr>
              <w:t>Validation F1</w:t>
            </w:r>
          </w:p>
        </w:tc>
        <w:tc>
          <w:tcPr>
            <w:tcW w:w="728" w:type="dxa"/>
            <w:tcBorders>
              <w:bottom w:val="single" w:sz="4" w:space="0" w:color="000000"/>
            </w:tcBorders>
            <w:vAlign w:val="center"/>
          </w:tcPr>
          <w:p w14:paraId="3262AC8A" w14:textId="77777777" w:rsidR="00000000" w:rsidRDefault="00000000">
            <w:pPr>
              <w:snapToGrid w:val="0"/>
              <w:spacing w:before="36" w:after="36"/>
            </w:pPr>
            <w:r>
              <w:rPr>
                <w:rFonts w:ascii="Times New Roman" w:hAnsi="Times New Roman" w:cs="Times New Roman"/>
                <w:b/>
                <w:bCs/>
                <w:sz w:val="16"/>
                <w:szCs w:val="16"/>
                <w:lang w:val="es-PE"/>
              </w:rPr>
              <w:t>Test F1</w:t>
            </w:r>
          </w:p>
        </w:tc>
        <w:tc>
          <w:tcPr>
            <w:tcW w:w="1305" w:type="dxa"/>
            <w:tcBorders>
              <w:bottom w:val="single" w:sz="4" w:space="0" w:color="000000"/>
            </w:tcBorders>
            <w:vAlign w:val="center"/>
          </w:tcPr>
          <w:p w14:paraId="0E8204E0" w14:textId="77777777" w:rsidR="00000000" w:rsidRDefault="00000000">
            <w:pPr>
              <w:snapToGrid w:val="0"/>
              <w:spacing w:before="36" w:after="36"/>
            </w:pPr>
            <w:r>
              <w:rPr>
                <w:rFonts w:ascii="Times New Roman" w:hAnsi="Times New Roman" w:cs="Times New Roman"/>
                <w:b/>
                <w:bCs/>
                <w:sz w:val="16"/>
                <w:szCs w:val="16"/>
                <w:lang w:val="es-PE"/>
              </w:rPr>
              <w:t>Test ROC-AUC</w:t>
            </w:r>
          </w:p>
        </w:tc>
      </w:tr>
      <w:tr w:rsidR="00000000" w14:paraId="7B15BD90" w14:textId="77777777">
        <w:trPr>
          <w:jc w:val="center"/>
        </w:trPr>
        <w:tc>
          <w:tcPr>
            <w:tcW w:w="2154" w:type="dxa"/>
            <w:vAlign w:val="center"/>
          </w:tcPr>
          <w:p w14:paraId="35EC7711" w14:textId="77777777" w:rsidR="00000000" w:rsidRDefault="00000000">
            <w:pPr>
              <w:snapToGrid w:val="0"/>
              <w:spacing w:before="36" w:after="36"/>
            </w:pPr>
            <w:r>
              <w:rPr>
                <w:rFonts w:ascii="Times New Roman" w:hAnsi="Times New Roman" w:cs="Times New Roman"/>
                <w:sz w:val="16"/>
                <w:szCs w:val="16"/>
                <w:lang w:val="es-PE"/>
              </w:rPr>
              <w:t>LightGBM (Randomized SearchCV)</w:t>
            </w:r>
          </w:p>
        </w:tc>
        <w:tc>
          <w:tcPr>
            <w:tcW w:w="1154" w:type="dxa"/>
            <w:vAlign w:val="center"/>
          </w:tcPr>
          <w:p w14:paraId="4BA099E5" w14:textId="77777777" w:rsidR="00000000" w:rsidRDefault="00000000">
            <w:pPr>
              <w:snapToGrid w:val="0"/>
              <w:spacing w:before="36" w:after="36"/>
            </w:pPr>
            <w:r>
              <w:rPr>
                <w:rFonts w:ascii="Times New Roman" w:hAnsi="Times New Roman" w:cs="Times New Roman"/>
                <w:sz w:val="16"/>
                <w:szCs w:val="16"/>
                <w:lang w:val="es-PE"/>
              </w:rPr>
              <w:t>0.605</w:t>
            </w:r>
          </w:p>
        </w:tc>
        <w:tc>
          <w:tcPr>
            <w:tcW w:w="728" w:type="dxa"/>
            <w:vAlign w:val="center"/>
          </w:tcPr>
          <w:p w14:paraId="6B3CD469" w14:textId="77777777" w:rsidR="00000000" w:rsidRDefault="00000000">
            <w:pPr>
              <w:snapToGrid w:val="0"/>
              <w:spacing w:before="36" w:after="36"/>
            </w:pPr>
            <w:r>
              <w:rPr>
                <w:rFonts w:ascii="Times New Roman" w:hAnsi="Times New Roman" w:cs="Times New Roman"/>
                <w:sz w:val="16"/>
                <w:szCs w:val="16"/>
                <w:lang w:val="es-PE"/>
              </w:rPr>
              <w:t>0.475</w:t>
            </w:r>
          </w:p>
        </w:tc>
        <w:tc>
          <w:tcPr>
            <w:tcW w:w="1305" w:type="dxa"/>
            <w:vAlign w:val="center"/>
          </w:tcPr>
          <w:p w14:paraId="17ADA167" w14:textId="77777777" w:rsidR="00000000" w:rsidRDefault="00000000">
            <w:pPr>
              <w:snapToGrid w:val="0"/>
              <w:spacing w:before="36" w:after="36"/>
            </w:pPr>
            <w:r>
              <w:rPr>
                <w:rFonts w:ascii="Times New Roman" w:hAnsi="Times New Roman" w:cs="Times New Roman"/>
                <w:sz w:val="16"/>
                <w:szCs w:val="16"/>
                <w:lang w:val="es-PE"/>
              </w:rPr>
              <w:t>0.798</w:t>
            </w:r>
          </w:p>
        </w:tc>
      </w:tr>
      <w:tr w:rsidR="00000000" w14:paraId="093B475E" w14:textId="77777777">
        <w:trPr>
          <w:jc w:val="center"/>
        </w:trPr>
        <w:tc>
          <w:tcPr>
            <w:tcW w:w="2154" w:type="dxa"/>
            <w:vAlign w:val="center"/>
          </w:tcPr>
          <w:p w14:paraId="0C1632A7" w14:textId="77777777" w:rsidR="00000000" w:rsidRDefault="00000000">
            <w:pPr>
              <w:snapToGrid w:val="0"/>
              <w:spacing w:before="36" w:after="36"/>
            </w:pPr>
            <w:r>
              <w:rPr>
                <w:rFonts w:ascii="Times New Roman" w:hAnsi="Times New Roman" w:cs="Times New Roman"/>
                <w:sz w:val="16"/>
                <w:szCs w:val="16"/>
                <w:lang w:val="es-PE"/>
              </w:rPr>
              <w:t>CatBoost</w:t>
            </w:r>
          </w:p>
        </w:tc>
        <w:tc>
          <w:tcPr>
            <w:tcW w:w="1154" w:type="dxa"/>
            <w:vAlign w:val="center"/>
          </w:tcPr>
          <w:p w14:paraId="4AA1F587" w14:textId="77777777" w:rsidR="00000000" w:rsidRDefault="00000000">
            <w:pPr>
              <w:snapToGrid w:val="0"/>
              <w:spacing w:before="36" w:after="36"/>
            </w:pPr>
            <w:r>
              <w:rPr>
                <w:rFonts w:ascii="Times New Roman" w:hAnsi="Times New Roman" w:cs="Times New Roman"/>
                <w:sz w:val="16"/>
                <w:szCs w:val="16"/>
                <w:lang w:val="es-PE"/>
              </w:rPr>
              <w:t>0.591</w:t>
            </w:r>
          </w:p>
        </w:tc>
        <w:tc>
          <w:tcPr>
            <w:tcW w:w="728" w:type="dxa"/>
            <w:vAlign w:val="center"/>
          </w:tcPr>
          <w:p w14:paraId="4255131C" w14:textId="77777777" w:rsidR="00000000" w:rsidRDefault="00000000">
            <w:pPr>
              <w:snapToGrid w:val="0"/>
              <w:spacing w:before="36" w:after="36"/>
            </w:pPr>
            <w:r>
              <w:rPr>
                <w:rFonts w:ascii="Times New Roman" w:hAnsi="Times New Roman" w:cs="Times New Roman"/>
                <w:sz w:val="16"/>
                <w:szCs w:val="16"/>
                <w:lang w:val="es-PE"/>
              </w:rPr>
              <w:t>0.485</w:t>
            </w:r>
          </w:p>
        </w:tc>
        <w:tc>
          <w:tcPr>
            <w:tcW w:w="1305" w:type="dxa"/>
            <w:vAlign w:val="center"/>
          </w:tcPr>
          <w:p w14:paraId="54CAF58F" w14:textId="77777777" w:rsidR="00000000" w:rsidRDefault="00000000">
            <w:pPr>
              <w:snapToGrid w:val="0"/>
              <w:spacing w:before="36" w:after="36"/>
            </w:pPr>
            <w:r>
              <w:rPr>
                <w:rFonts w:ascii="Times New Roman" w:hAnsi="Times New Roman" w:cs="Times New Roman"/>
                <w:sz w:val="16"/>
                <w:szCs w:val="16"/>
                <w:lang w:val="es-PE"/>
              </w:rPr>
              <w:t>0.817</w:t>
            </w:r>
          </w:p>
        </w:tc>
      </w:tr>
      <w:tr w:rsidR="00000000" w14:paraId="566A98A9" w14:textId="77777777">
        <w:trPr>
          <w:jc w:val="center"/>
        </w:trPr>
        <w:tc>
          <w:tcPr>
            <w:tcW w:w="2154" w:type="dxa"/>
            <w:vAlign w:val="center"/>
          </w:tcPr>
          <w:p w14:paraId="422DA183" w14:textId="77777777" w:rsidR="00000000" w:rsidRDefault="00000000">
            <w:pPr>
              <w:snapToGrid w:val="0"/>
              <w:spacing w:before="36" w:after="36"/>
            </w:pPr>
            <w:r>
              <w:rPr>
                <w:rFonts w:ascii="Times New Roman" w:hAnsi="Times New Roman" w:cs="Times New Roman"/>
                <w:sz w:val="16"/>
                <w:szCs w:val="16"/>
                <w:lang w:val="es-PE"/>
              </w:rPr>
              <w:t>XGBoost</w:t>
            </w:r>
          </w:p>
        </w:tc>
        <w:tc>
          <w:tcPr>
            <w:tcW w:w="1154" w:type="dxa"/>
            <w:vAlign w:val="center"/>
          </w:tcPr>
          <w:p w14:paraId="6B99F98D" w14:textId="77777777" w:rsidR="00000000" w:rsidRDefault="00000000">
            <w:pPr>
              <w:snapToGrid w:val="0"/>
              <w:spacing w:before="36" w:after="36"/>
            </w:pPr>
            <w:r>
              <w:rPr>
                <w:rFonts w:ascii="Times New Roman" w:hAnsi="Times New Roman" w:cs="Times New Roman"/>
                <w:sz w:val="16"/>
                <w:szCs w:val="16"/>
                <w:lang w:val="es-PE"/>
              </w:rPr>
              <w:t>0.598</w:t>
            </w:r>
          </w:p>
        </w:tc>
        <w:tc>
          <w:tcPr>
            <w:tcW w:w="728" w:type="dxa"/>
            <w:vAlign w:val="center"/>
          </w:tcPr>
          <w:p w14:paraId="0D0783B2" w14:textId="77777777" w:rsidR="00000000" w:rsidRDefault="00000000">
            <w:pPr>
              <w:snapToGrid w:val="0"/>
              <w:spacing w:before="36" w:after="36"/>
            </w:pPr>
            <w:r>
              <w:rPr>
                <w:rFonts w:ascii="Times New Roman" w:hAnsi="Times New Roman" w:cs="Times New Roman"/>
                <w:sz w:val="16"/>
                <w:szCs w:val="16"/>
                <w:lang w:val="es-PE"/>
              </w:rPr>
              <w:t>0.465</w:t>
            </w:r>
          </w:p>
        </w:tc>
        <w:tc>
          <w:tcPr>
            <w:tcW w:w="1305" w:type="dxa"/>
            <w:vAlign w:val="center"/>
          </w:tcPr>
          <w:p w14:paraId="745405AC" w14:textId="77777777" w:rsidR="00000000" w:rsidRDefault="00000000">
            <w:pPr>
              <w:snapToGrid w:val="0"/>
              <w:spacing w:before="36" w:after="36"/>
            </w:pPr>
            <w:r>
              <w:rPr>
                <w:rFonts w:ascii="Times New Roman" w:hAnsi="Times New Roman" w:cs="Times New Roman"/>
                <w:sz w:val="16"/>
                <w:szCs w:val="16"/>
                <w:lang w:val="es-PE"/>
              </w:rPr>
              <w:t>0.772</w:t>
            </w:r>
          </w:p>
        </w:tc>
      </w:tr>
      <w:tr w:rsidR="00000000" w14:paraId="1C4108BA" w14:textId="77777777">
        <w:trPr>
          <w:jc w:val="center"/>
        </w:trPr>
        <w:tc>
          <w:tcPr>
            <w:tcW w:w="2154" w:type="dxa"/>
            <w:vAlign w:val="center"/>
          </w:tcPr>
          <w:p w14:paraId="526F6AED" w14:textId="77777777" w:rsidR="00000000" w:rsidRDefault="00000000">
            <w:pPr>
              <w:snapToGrid w:val="0"/>
              <w:spacing w:before="36" w:after="36"/>
            </w:pPr>
            <w:r>
              <w:rPr>
                <w:rFonts w:ascii="Times New Roman" w:hAnsi="Times New Roman" w:cs="Times New Roman"/>
                <w:sz w:val="16"/>
                <w:szCs w:val="16"/>
                <w:lang w:val="es-PE"/>
              </w:rPr>
              <w:t>Logistic Regression</w:t>
            </w:r>
          </w:p>
        </w:tc>
        <w:tc>
          <w:tcPr>
            <w:tcW w:w="1154" w:type="dxa"/>
            <w:vAlign w:val="center"/>
          </w:tcPr>
          <w:p w14:paraId="1765F6A5" w14:textId="77777777" w:rsidR="00000000" w:rsidRDefault="00000000">
            <w:pPr>
              <w:snapToGrid w:val="0"/>
              <w:spacing w:before="36" w:after="36"/>
            </w:pPr>
            <w:r>
              <w:rPr>
                <w:rFonts w:ascii="Times New Roman" w:hAnsi="Times New Roman" w:cs="Times New Roman"/>
                <w:sz w:val="16"/>
                <w:szCs w:val="16"/>
                <w:lang w:val="es-PE"/>
              </w:rPr>
              <w:t>0.437</w:t>
            </w:r>
          </w:p>
        </w:tc>
        <w:tc>
          <w:tcPr>
            <w:tcW w:w="728" w:type="dxa"/>
            <w:vAlign w:val="center"/>
          </w:tcPr>
          <w:p w14:paraId="3DB3C4AD" w14:textId="77777777" w:rsidR="00000000" w:rsidRDefault="00000000">
            <w:pPr>
              <w:snapToGrid w:val="0"/>
              <w:spacing w:before="36" w:after="36"/>
            </w:pPr>
            <w:r>
              <w:rPr>
                <w:rFonts w:ascii="Times New Roman" w:hAnsi="Times New Roman" w:cs="Times New Roman"/>
                <w:sz w:val="16"/>
                <w:szCs w:val="16"/>
                <w:lang w:val="es-PE"/>
              </w:rPr>
              <w:t>0.444</w:t>
            </w:r>
          </w:p>
        </w:tc>
        <w:tc>
          <w:tcPr>
            <w:tcW w:w="1305" w:type="dxa"/>
            <w:vAlign w:val="center"/>
          </w:tcPr>
          <w:p w14:paraId="348CE52F" w14:textId="77777777" w:rsidR="00000000" w:rsidRDefault="00000000">
            <w:pPr>
              <w:snapToGrid w:val="0"/>
              <w:spacing w:before="36" w:after="36"/>
            </w:pPr>
            <w:r>
              <w:rPr>
                <w:rFonts w:ascii="Times New Roman" w:hAnsi="Times New Roman" w:cs="Times New Roman"/>
                <w:sz w:val="16"/>
                <w:szCs w:val="16"/>
                <w:lang w:val="es-PE"/>
              </w:rPr>
              <w:t>0.799</w:t>
            </w:r>
          </w:p>
        </w:tc>
      </w:tr>
      <w:tr w:rsidR="00000000" w14:paraId="5A73172D" w14:textId="77777777">
        <w:trPr>
          <w:jc w:val="center"/>
        </w:trPr>
        <w:tc>
          <w:tcPr>
            <w:tcW w:w="2154" w:type="dxa"/>
            <w:vAlign w:val="center"/>
          </w:tcPr>
          <w:p w14:paraId="05F89A72" w14:textId="77777777" w:rsidR="00000000" w:rsidRDefault="00000000">
            <w:pPr>
              <w:snapToGrid w:val="0"/>
              <w:spacing w:before="36" w:after="36"/>
            </w:pPr>
            <w:r>
              <w:rPr>
                <w:rFonts w:ascii="Times New Roman" w:hAnsi="Times New Roman" w:cs="Times New Roman"/>
                <w:sz w:val="16"/>
                <w:szCs w:val="16"/>
                <w:lang w:val="es-PE"/>
              </w:rPr>
              <w:t>SVM (LinearSVC + Platt)</w:t>
            </w:r>
          </w:p>
        </w:tc>
        <w:tc>
          <w:tcPr>
            <w:tcW w:w="1154" w:type="dxa"/>
            <w:vAlign w:val="center"/>
          </w:tcPr>
          <w:p w14:paraId="2D49B6D8" w14:textId="77777777" w:rsidR="00000000" w:rsidRDefault="00000000">
            <w:pPr>
              <w:snapToGrid w:val="0"/>
              <w:spacing w:before="36" w:after="36"/>
            </w:pPr>
            <w:r>
              <w:rPr>
                <w:rFonts w:ascii="Times New Roman" w:hAnsi="Times New Roman" w:cs="Times New Roman"/>
                <w:sz w:val="16"/>
                <w:szCs w:val="16"/>
                <w:lang w:val="es-PE"/>
              </w:rPr>
              <w:t>0.263</w:t>
            </w:r>
          </w:p>
        </w:tc>
        <w:tc>
          <w:tcPr>
            <w:tcW w:w="728" w:type="dxa"/>
            <w:vAlign w:val="center"/>
          </w:tcPr>
          <w:p w14:paraId="7FF8557B" w14:textId="77777777" w:rsidR="00000000" w:rsidRDefault="00000000">
            <w:pPr>
              <w:snapToGrid w:val="0"/>
              <w:spacing w:before="36" w:after="36"/>
            </w:pPr>
            <w:r>
              <w:rPr>
                <w:rFonts w:ascii="Times New Roman" w:hAnsi="Times New Roman" w:cs="Times New Roman"/>
                <w:sz w:val="16"/>
                <w:szCs w:val="16"/>
                <w:lang w:val="es-PE"/>
              </w:rPr>
              <w:t>0.247</w:t>
            </w:r>
          </w:p>
        </w:tc>
        <w:tc>
          <w:tcPr>
            <w:tcW w:w="1305" w:type="dxa"/>
            <w:vAlign w:val="center"/>
          </w:tcPr>
          <w:p w14:paraId="74F447CA" w14:textId="77777777" w:rsidR="00000000" w:rsidRDefault="00000000">
            <w:pPr>
              <w:snapToGrid w:val="0"/>
              <w:spacing w:before="36" w:after="36"/>
            </w:pPr>
            <w:r>
              <w:rPr>
                <w:rFonts w:ascii="Times New Roman" w:hAnsi="Times New Roman" w:cs="Times New Roman"/>
                <w:sz w:val="16"/>
                <w:szCs w:val="16"/>
                <w:lang w:val="es-PE"/>
              </w:rPr>
              <w:t>0.803</w:t>
            </w:r>
          </w:p>
        </w:tc>
      </w:tr>
      <w:tr w:rsidR="00000000" w14:paraId="5FCC4F02" w14:textId="77777777">
        <w:trPr>
          <w:jc w:val="center"/>
        </w:trPr>
        <w:tc>
          <w:tcPr>
            <w:tcW w:w="2154" w:type="dxa"/>
            <w:vAlign w:val="center"/>
          </w:tcPr>
          <w:p w14:paraId="0C4D10DD" w14:textId="77777777" w:rsidR="00000000" w:rsidRDefault="00000000">
            <w:pPr>
              <w:snapToGrid w:val="0"/>
              <w:spacing w:before="36" w:after="36"/>
            </w:pPr>
            <w:r>
              <w:rPr>
                <w:rFonts w:ascii="Times New Roman" w:hAnsi="Times New Roman" w:cs="Times New Roman"/>
                <w:sz w:val="16"/>
                <w:szCs w:val="16"/>
                <w:lang w:val="es-PE"/>
              </w:rPr>
              <w:t>VotingClassifier</w:t>
            </w:r>
          </w:p>
        </w:tc>
        <w:tc>
          <w:tcPr>
            <w:tcW w:w="1154" w:type="dxa"/>
            <w:vAlign w:val="center"/>
          </w:tcPr>
          <w:p w14:paraId="038C96E6" w14:textId="77777777" w:rsidR="00000000" w:rsidRDefault="00000000">
            <w:pPr>
              <w:snapToGrid w:val="0"/>
              <w:spacing w:before="36" w:after="36"/>
            </w:pPr>
            <w:r>
              <w:rPr>
                <w:rFonts w:ascii="Times New Roman" w:hAnsi="Times New Roman" w:cs="Times New Roman"/>
                <w:sz w:val="16"/>
                <w:szCs w:val="16"/>
                <w:lang w:val="es-PE"/>
              </w:rPr>
              <w:t>0.584</w:t>
            </w:r>
          </w:p>
        </w:tc>
        <w:tc>
          <w:tcPr>
            <w:tcW w:w="728" w:type="dxa"/>
            <w:vAlign w:val="center"/>
          </w:tcPr>
          <w:p w14:paraId="4385BA44" w14:textId="77777777" w:rsidR="00000000" w:rsidRDefault="00000000">
            <w:pPr>
              <w:snapToGrid w:val="0"/>
              <w:spacing w:before="36" w:after="36"/>
            </w:pPr>
            <w:r>
              <w:rPr>
                <w:rFonts w:ascii="Times New Roman" w:hAnsi="Times New Roman" w:cs="Times New Roman"/>
                <w:sz w:val="16"/>
                <w:szCs w:val="16"/>
                <w:lang w:val="es-PE"/>
              </w:rPr>
              <w:t>0.476</w:t>
            </w:r>
          </w:p>
        </w:tc>
        <w:tc>
          <w:tcPr>
            <w:tcW w:w="1305" w:type="dxa"/>
            <w:vAlign w:val="center"/>
          </w:tcPr>
          <w:p w14:paraId="7C478BD4" w14:textId="77777777" w:rsidR="00000000" w:rsidRDefault="00000000">
            <w:pPr>
              <w:snapToGrid w:val="0"/>
              <w:spacing w:before="36" w:after="36"/>
            </w:pPr>
            <w:r>
              <w:rPr>
                <w:rFonts w:ascii="Times New Roman" w:hAnsi="Times New Roman" w:cs="Times New Roman"/>
                <w:sz w:val="16"/>
                <w:szCs w:val="16"/>
                <w:lang w:val="es-PE"/>
              </w:rPr>
              <w:t>0.819</w:t>
            </w:r>
          </w:p>
        </w:tc>
      </w:tr>
      <w:tr w:rsidR="00000000" w14:paraId="65C6B6BE" w14:textId="77777777">
        <w:trPr>
          <w:jc w:val="center"/>
        </w:trPr>
        <w:tc>
          <w:tcPr>
            <w:tcW w:w="2154" w:type="dxa"/>
            <w:vAlign w:val="center"/>
          </w:tcPr>
          <w:p w14:paraId="3BFFD778" w14:textId="77777777" w:rsidR="00000000" w:rsidRDefault="00000000">
            <w:pPr>
              <w:snapToGrid w:val="0"/>
              <w:spacing w:before="36" w:after="36"/>
            </w:pPr>
            <w:r>
              <w:rPr>
                <w:rFonts w:ascii="Times New Roman" w:hAnsi="Times New Roman" w:cs="Times New Roman"/>
                <w:sz w:val="16"/>
                <w:szCs w:val="16"/>
                <w:lang w:val="es-PE"/>
              </w:rPr>
              <w:t>Temporal Stacking</w:t>
            </w:r>
          </w:p>
        </w:tc>
        <w:tc>
          <w:tcPr>
            <w:tcW w:w="1154" w:type="dxa"/>
            <w:vAlign w:val="center"/>
          </w:tcPr>
          <w:p w14:paraId="60F9E4F8" w14:textId="77777777" w:rsidR="00000000" w:rsidRDefault="00000000">
            <w:pPr>
              <w:snapToGrid w:val="0"/>
              <w:spacing w:before="36" w:after="36"/>
            </w:pPr>
            <w:r>
              <w:rPr>
                <w:rFonts w:ascii="Times New Roman" w:hAnsi="Times New Roman" w:cs="Times New Roman"/>
                <w:sz w:val="16"/>
                <w:szCs w:val="16"/>
                <w:lang w:val="es-PE"/>
              </w:rPr>
              <w:t>0.518</w:t>
            </w:r>
          </w:p>
        </w:tc>
        <w:tc>
          <w:tcPr>
            <w:tcW w:w="728" w:type="dxa"/>
            <w:vAlign w:val="center"/>
          </w:tcPr>
          <w:p w14:paraId="6DD1D7C8" w14:textId="77777777" w:rsidR="00000000" w:rsidRDefault="00000000">
            <w:pPr>
              <w:snapToGrid w:val="0"/>
              <w:spacing w:before="36" w:after="36"/>
            </w:pPr>
            <w:r>
              <w:rPr>
                <w:rFonts w:ascii="Times New Roman" w:hAnsi="Times New Roman" w:cs="Times New Roman"/>
                <w:sz w:val="16"/>
                <w:szCs w:val="16"/>
                <w:lang w:val="es-PE"/>
              </w:rPr>
              <w:t>0.445</w:t>
            </w:r>
          </w:p>
        </w:tc>
        <w:tc>
          <w:tcPr>
            <w:tcW w:w="1305" w:type="dxa"/>
            <w:vAlign w:val="center"/>
          </w:tcPr>
          <w:p w14:paraId="264FFDC2" w14:textId="77777777" w:rsidR="00000000" w:rsidRDefault="00000000">
            <w:pPr>
              <w:snapToGrid w:val="0"/>
              <w:spacing w:before="36" w:after="36"/>
            </w:pPr>
            <w:r>
              <w:rPr>
                <w:rFonts w:ascii="Times New Roman" w:hAnsi="Times New Roman" w:cs="Times New Roman"/>
                <w:sz w:val="16"/>
                <w:szCs w:val="16"/>
                <w:lang w:val="es-PE"/>
              </w:rPr>
              <w:t>0.822</w:t>
            </w:r>
          </w:p>
        </w:tc>
      </w:tr>
      <w:tr w:rsidR="00000000" w14:paraId="462A4B2A" w14:textId="77777777">
        <w:trPr>
          <w:jc w:val="center"/>
        </w:trPr>
        <w:tc>
          <w:tcPr>
            <w:tcW w:w="2154" w:type="dxa"/>
            <w:vAlign w:val="center"/>
          </w:tcPr>
          <w:p w14:paraId="135D8ADE" w14:textId="77777777" w:rsidR="00000000" w:rsidRDefault="00000000">
            <w:pPr>
              <w:snapToGrid w:val="0"/>
              <w:spacing w:before="36" w:after="36"/>
            </w:pPr>
            <w:r>
              <w:rPr>
                <w:rFonts w:ascii="Times New Roman" w:hAnsi="Times New Roman" w:cs="Times New Roman"/>
                <w:sz w:val="16"/>
                <w:szCs w:val="16"/>
                <w:lang w:val="es-PE"/>
              </w:rPr>
              <w:t>Dummy (Baseline)</w:t>
            </w:r>
          </w:p>
        </w:tc>
        <w:tc>
          <w:tcPr>
            <w:tcW w:w="1154" w:type="dxa"/>
            <w:vAlign w:val="center"/>
          </w:tcPr>
          <w:p w14:paraId="06A51316" w14:textId="77777777" w:rsidR="00000000" w:rsidRDefault="00000000">
            <w:pPr>
              <w:snapToGrid w:val="0"/>
              <w:spacing w:before="36" w:after="36"/>
            </w:pPr>
            <w:r>
              <w:rPr>
                <w:rFonts w:ascii="Times New Roman" w:hAnsi="Times New Roman" w:cs="Times New Roman"/>
                <w:sz w:val="16"/>
                <w:szCs w:val="16"/>
                <w:lang w:val="es-PE"/>
              </w:rPr>
              <w:t>0.000</w:t>
            </w:r>
          </w:p>
        </w:tc>
        <w:tc>
          <w:tcPr>
            <w:tcW w:w="728" w:type="dxa"/>
            <w:vAlign w:val="center"/>
          </w:tcPr>
          <w:p w14:paraId="05D9DB75" w14:textId="77777777" w:rsidR="00000000" w:rsidRDefault="00000000">
            <w:pPr>
              <w:snapToGrid w:val="0"/>
              <w:spacing w:before="36" w:after="36"/>
            </w:pPr>
            <w:r>
              <w:rPr>
                <w:rFonts w:ascii="Times New Roman" w:hAnsi="Times New Roman" w:cs="Times New Roman"/>
                <w:sz w:val="16"/>
                <w:szCs w:val="16"/>
                <w:lang w:val="es-PE"/>
              </w:rPr>
              <w:t>0.000</w:t>
            </w:r>
          </w:p>
        </w:tc>
        <w:tc>
          <w:tcPr>
            <w:tcW w:w="1305" w:type="dxa"/>
            <w:vAlign w:val="center"/>
          </w:tcPr>
          <w:p w14:paraId="11C4CE48" w14:textId="77777777" w:rsidR="00000000" w:rsidRDefault="00000000">
            <w:pPr>
              <w:snapToGrid w:val="0"/>
              <w:spacing w:before="36" w:after="36"/>
            </w:pPr>
            <w:r>
              <w:rPr>
                <w:rFonts w:ascii="Times New Roman" w:hAnsi="Times New Roman" w:cs="Times New Roman"/>
                <w:sz w:val="16"/>
                <w:szCs w:val="16"/>
                <w:lang w:val="es-PE"/>
              </w:rPr>
              <w:t>0.500</w:t>
            </w:r>
          </w:p>
        </w:tc>
      </w:tr>
    </w:tbl>
    <w:p w14:paraId="5F926E23" w14:textId="77777777" w:rsidR="00000000" w:rsidRDefault="00000000">
      <w:pPr>
        <w:snapToGrid w:val="0"/>
        <w:ind w:firstLine="360"/>
        <w:jc w:val="both"/>
        <w:rPr>
          <w:rFonts w:ascii="Times New Roman" w:hAnsi="Times New Roman" w:cs="Times New Roman"/>
          <w:lang w:val="en-US"/>
        </w:rPr>
      </w:pPr>
    </w:p>
    <w:p w14:paraId="0F98136D" w14:textId="77777777" w:rsidR="00000000" w:rsidRDefault="00000000">
      <w:pPr>
        <w:snapToGrid w:val="0"/>
        <w:ind w:firstLine="360"/>
        <w:jc w:val="both"/>
      </w:pPr>
      <w:r>
        <w:rPr>
          <w:rFonts w:ascii="Times New Roman" w:hAnsi="Times New Roman" w:cs="Times New Roman"/>
          <w:lang w:val="en-US"/>
        </w:rPr>
        <w:t>The gradient boosting models consistently outperformed both the linear models and the baseline classifier (F1 = 0 across all partitions), confirming the presence of a nonlinear predictive signal. LightGBM achieved the highest F1-score on the validation set—the criterion used to select the primary model—whereas CatBoost outperformed LightGBM on the 2025 test set in terms of both F1-score and ROC-AUC. This difference was confirmed to be statistically significant by DeLong's test ((z = 2.70), (p = 0.007)). The Friedman test across the temporal folds also confirmed significant overall differences among the evaluated models ((\chi^2 = 12.6), (p = 0.013)).</w:t>
      </w:r>
    </w:p>
    <w:p w14:paraId="582E06DA" w14:textId="77777777" w:rsidR="00000000" w:rsidRDefault="00000000">
      <w:pPr>
        <w:snapToGrid w:val="0"/>
        <w:ind w:firstLine="360"/>
        <w:jc w:val="both"/>
      </w:pPr>
      <w:r>
        <w:t>Although CatBoost achieved a significantly higher F1-score on the test set (DeLong's test, *z* = 2.70, *p* = 0.007), selecting the final model based on this result would have compromised the temporal isolation established in Section III.D.1 by turning the 2025 hold-out set into a model selection criterion rather than an independent evaluation. Therefore, LightGBM was retained as the primary model because it achieved the best performance under the pre-specified 2024 validation criterion (Section III.D.4). This decision is further supported by its greater relative stability across the evaluated temporal partitions (mean F1 = 0.541 ± 0.045 versus 0.528 ± 0.040 for CatBoost; Section IV.B).</w:t>
      </w:r>
    </w:p>
    <w:p w14:paraId="78C9B342" w14:textId="77777777" w:rsidR="00000000" w:rsidRDefault="00000000">
      <w:pPr>
        <w:pStyle w:val="Ttulo2"/>
      </w:pPr>
      <w:r>
        <w:t>B. Decision Threshold Optimization and Final Model Performance</w:t>
      </w:r>
    </w:p>
    <w:p w14:paraId="6CEED18D" w14:textId="77777777" w:rsidR="00000000" w:rsidRDefault="00000000">
      <w:pPr>
        <w:snapToGrid w:val="0"/>
        <w:ind w:firstLine="360"/>
        <w:jc w:val="both"/>
        <w:rPr>
          <w:rFonts w:ascii="Times New Roman" w:hAnsi="Times New Roman" w:cs="Times New Roman"/>
          <w:lang w:val="en-US"/>
        </w:rPr>
      </w:pPr>
      <w:r>
        <w:rPr>
          <w:rFonts w:ascii="Times New Roman" w:hAnsi="Times New Roman" w:cs="Times New Roman"/>
          <w:lang w:val="en-US"/>
        </w:rPr>
        <w:t xml:space="preserve">After selecting LightGBM as the primary model and optimizing the decision threshold on the validation set (F1-optimal = 0.66; Section III.D.4), the final performance is presented in Table IX (Section III.D): F1 = 0.618 on the validation set, 0.469 on the test set, and 0.559 on the 2026 external dataset, with 95% confidence intervals obtained through bootstrap resampling (300 resamples) of F1 </w:t>
      </w:r>
      <w:r>
        <w:rPr>
          <w:rFonts w:ascii="Cambria Math" w:hAnsi="Cambria Math" w:cs="Cambria Math"/>
          <w:lang w:val="en-US"/>
        </w:rPr>
        <w:t>∈</w:t>
      </w:r>
      <w:r>
        <w:rPr>
          <w:rFonts w:ascii="Times New Roman" w:hAnsi="Times New Roman" w:cs="Times New Roman"/>
          <w:lang w:val="en-US"/>
        </w:rPr>
        <w:t xml:space="preserve"> [0.390, 0.546] on the test set.</w:t>
      </w:r>
    </w:p>
    <w:p w14:paraId="20EA01B0" w14:textId="77777777" w:rsidR="00000000" w:rsidRDefault="00000000">
      <w:pPr>
        <w:snapToGrid w:val="0"/>
        <w:ind w:firstLine="360"/>
        <w:jc w:val="both"/>
        <w:rPr>
          <w:rFonts w:ascii="Times New Roman" w:hAnsi="Times New Roman" w:cs="Times New Roman"/>
          <w:lang w:val="en-US"/>
        </w:rPr>
      </w:pPr>
      <w:r>
        <w:rPr>
          <w:rFonts w:ascii="Times New Roman" w:hAnsi="Times New Roman" w:cs="Times New Roman"/>
          <w:lang w:val="en-US"/>
        </w:rPr>
        <w:t>External walk-forward cross-validation (incrementally retraining the model year by year) confirmed the relative stability of LightGBM (mean F1 = 0.541 ± 0.045) compared with CatBoost (0.528 ± 0.040) and Logistic Regression (0.461 ± 0.025) across the seven temporal evaluation points (2020–2026).</w:t>
      </w:r>
    </w:p>
    <w:p w14:paraId="4C4F9354" w14:textId="77777777" w:rsidR="00000000" w:rsidRDefault="00000000">
      <w:pPr>
        <w:snapToGrid w:val="0"/>
        <w:ind w:firstLine="360"/>
        <w:jc w:val="both"/>
        <w:rPr>
          <w:rFonts w:ascii="Times New Roman" w:hAnsi="Times New Roman" w:cs="Times New Roman"/>
          <w:lang w:val="en-US"/>
        </w:rPr>
      </w:pPr>
    </w:p>
    <w:p w14:paraId="23D3E7EA" w14:textId="77777777" w:rsidR="00000000" w:rsidRDefault="00000000">
      <w:pPr>
        <w:snapToGrid w:val="0"/>
        <w:ind w:firstLine="360"/>
        <w:jc w:val="both"/>
        <w:rPr>
          <w:rFonts w:ascii="Times New Roman" w:hAnsi="Times New Roman" w:cs="Times New Roman"/>
          <w:lang w:val="en-US"/>
        </w:rPr>
      </w:pPr>
    </w:p>
    <w:p w14:paraId="1374D327" w14:textId="77777777" w:rsidR="00000000" w:rsidRDefault="00000000">
      <w:pPr>
        <w:pStyle w:val="Ttulo2"/>
      </w:pPr>
      <w:r>
        <w:t>C. Ablation Study of Feature Groups</w:t>
      </w:r>
    </w:p>
    <w:p w14:paraId="03D53C2A" w14:textId="77777777" w:rsidR="00000000" w:rsidRDefault="00000000">
      <w:pPr>
        <w:snapToGrid w:val="0"/>
        <w:ind w:firstLine="360"/>
        <w:jc w:val="both"/>
        <w:rPr>
          <w:b/>
          <w:bCs/>
        </w:rPr>
      </w:pPr>
      <w:r>
        <w:rPr>
          <w:rFonts w:ascii="Times New Roman" w:hAnsi="Times New Roman" w:cs="Times New Roman"/>
          <w:lang w:val="en-US"/>
        </w:rPr>
        <w:lastRenderedPageBreak/>
        <w:t>Table XI summarizes the ablation study conducted on the LightGBM model, evaluating the impact of removing entire feature families on predictive performance.</w:t>
      </w:r>
    </w:p>
    <w:p w14:paraId="2671C531" w14:textId="77777777" w:rsidR="00000000" w:rsidRDefault="00000000">
      <w:pPr>
        <w:pStyle w:val="TableCaption"/>
        <w:rPr>
          <w:b/>
          <w:bCs/>
          <w:lang w:val="es-PE"/>
        </w:rPr>
      </w:pPr>
      <w:r>
        <w:rPr>
          <w:b/>
          <w:bCs/>
        </w:rPr>
        <w:t xml:space="preserve">TABLE XI. </w:t>
      </w:r>
      <w:r>
        <w:t>ABLATION STUDY (LIGHTGBM, 2025 TEST SET)</w:t>
      </w:r>
    </w:p>
    <w:tbl>
      <w:tblPr>
        <w:tblW w:w="0" w:type="auto"/>
        <w:jc w:val="center"/>
        <w:tblLayout w:type="fixed"/>
        <w:tblLook w:val="0000" w:firstRow="0" w:lastRow="0" w:firstColumn="0" w:lastColumn="0" w:noHBand="0" w:noVBand="0"/>
      </w:tblPr>
      <w:tblGrid>
        <w:gridCol w:w="987"/>
        <w:gridCol w:w="750"/>
        <w:gridCol w:w="598"/>
        <w:gridCol w:w="665"/>
        <w:gridCol w:w="750"/>
        <w:gridCol w:w="750"/>
        <w:gridCol w:w="750"/>
      </w:tblGrid>
      <w:tr w:rsidR="00000000" w14:paraId="222A5B02" w14:textId="77777777">
        <w:trPr>
          <w:tblHeader/>
          <w:jc w:val="center"/>
        </w:trPr>
        <w:tc>
          <w:tcPr>
            <w:tcW w:w="987" w:type="dxa"/>
            <w:tcBorders>
              <w:bottom w:val="single" w:sz="4" w:space="0" w:color="000000"/>
            </w:tcBorders>
            <w:vAlign w:val="center"/>
          </w:tcPr>
          <w:p w14:paraId="75A6A989" w14:textId="77777777" w:rsidR="00000000" w:rsidRDefault="00000000">
            <w:pPr>
              <w:snapToGrid w:val="0"/>
              <w:spacing w:before="36" w:after="36"/>
            </w:pPr>
            <w:r>
              <w:rPr>
                <w:rFonts w:ascii="Times New Roman" w:hAnsi="Times New Roman" w:cs="Times New Roman"/>
                <w:b/>
                <w:bCs/>
                <w:sz w:val="16"/>
                <w:szCs w:val="16"/>
                <w:lang w:val="es-PE"/>
              </w:rPr>
              <w:t>Variant</w:t>
            </w:r>
          </w:p>
        </w:tc>
        <w:tc>
          <w:tcPr>
            <w:tcW w:w="750" w:type="dxa"/>
            <w:tcBorders>
              <w:bottom w:val="single" w:sz="4" w:space="0" w:color="000000"/>
            </w:tcBorders>
            <w:vAlign w:val="center"/>
          </w:tcPr>
          <w:p w14:paraId="15C2EA94" w14:textId="77777777" w:rsidR="00000000" w:rsidRDefault="00000000">
            <w:pPr>
              <w:snapToGrid w:val="0"/>
              <w:spacing w:before="36" w:after="36"/>
            </w:pPr>
            <w:r>
              <w:rPr>
                <w:rFonts w:ascii="Times New Roman" w:hAnsi="Times New Roman" w:cs="Times New Roman"/>
                <w:b/>
                <w:bCs/>
                <w:sz w:val="16"/>
                <w:szCs w:val="16"/>
                <w:lang w:val="es-PE"/>
              </w:rPr>
              <w:t>No. vars</w:t>
            </w:r>
          </w:p>
        </w:tc>
        <w:tc>
          <w:tcPr>
            <w:tcW w:w="598" w:type="dxa"/>
            <w:tcBorders>
              <w:bottom w:val="single" w:sz="4" w:space="0" w:color="000000"/>
            </w:tcBorders>
            <w:vAlign w:val="center"/>
          </w:tcPr>
          <w:p w14:paraId="71ADE257" w14:textId="77777777" w:rsidR="00000000" w:rsidRDefault="00000000">
            <w:pPr>
              <w:snapToGrid w:val="0"/>
              <w:spacing w:before="36" w:after="36"/>
            </w:pPr>
            <w:r>
              <w:rPr>
                <w:rFonts w:ascii="Times New Roman" w:hAnsi="Times New Roman" w:cs="Times New Roman"/>
                <w:b/>
                <w:bCs/>
                <w:sz w:val="16"/>
                <w:szCs w:val="16"/>
                <w:lang w:val="es-PE"/>
              </w:rPr>
              <w:t>F1</w:t>
            </w:r>
          </w:p>
        </w:tc>
        <w:tc>
          <w:tcPr>
            <w:tcW w:w="665" w:type="dxa"/>
            <w:tcBorders>
              <w:bottom w:val="single" w:sz="4" w:space="0" w:color="000000"/>
            </w:tcBorders>
            <w:vAlign w:val="center"/>
          </w:tcPr>
          <w:p w14:paraId="36D114C0" w14:textId="77777777" w:rsidR="00000000" w:rsidRDefault="00000000">
            <w:pPr>
              <w:snapToGrid w:val="0"/>
              <w:spacing w:before="36" w:after="36"/>
            </w:pPr>
            <w:r>
              <w:rPr>
                <w:rFonts w:ascii="Times New Roman" w:hAnsi="Times New Roman" w:cs="Times New Roman"/>
                <w:b/>
                <w:bCs/>
                <w:sz w:val="16"/>
                <w:szCs w:val="16"/>
                <w:lang w:val="es-PE"/>
              </w:rPr>
              <w:t>Recall</w:t>
            </w:r>
          </w:p>
        </w:tc>
        <w:tc>
          <w:tcPr>
            <w:tcW w:w="750" w:type="dxa"/>
            <w:tcBorders>
              <w:bottom w:val="single" w:sz="4" w:space="0" w:color="000000"/>
            </w:tcBorders>
            <w:vAlign w:val="center"/>
          </w:tcPr>
          <w:p w14:paraId="0E15C805" w14:textId="77777777" w:rsidR="00000000" w:rsidRDefault="00000000">
            <w:pPr>
              <w:snapToGrid w:val="0"/>
              <w:spacing w:before="36" w:after="36"/>
            </w:pPr>
            <w:r>
              <w:rPr>
                <w:rFonts w:ascii="Times New Roman" w:hAnsi="Times New Roman" w:cs="Times New Roman"/>
                <w:b/>
                <w:bCs/>
                <w:sz w:val="16"/>
                <w:szCs w:val="16"/>
                <w:lang w:val="es-PE"/>
              </w:rPr>
              <w:t>Precision</w:t>
            </w:r>
          </w:p>
        </w:tc>
        <w:tc>
          <w:tcPr>
            <w:tcW w:w="750" w:type="dxa"/>
            <w:tcBorders>
              <w:bottom w:val="single" w:sz="4" w:space="0" w:color="000000"/>
            </w:tcBorders>
            <w:vAlign w:val="center"/>
          </w:tcPr>
          <w:p w14:paraId="74A7191E" w14:textId="77777777" w:rsidR="00000000" w:rsidRDefault="00000000">
            <w:pPr>
              <w:snapToGrid w:val="0"/>
              <w:spacing w:before="36" w:after="36"/>
            </w:pPr>
            <w:r>
              <w:rPr>
                <w:rFonts w:ascii="Times New Roman" w:hAnsi="Times New Roman" w:cs="Times New Roman"/>
                <w:b/>
                <w:bCs/>
                <w:sz w:val="16"/>
                <w:szCs w:val="16"/>
                <w:lang w:val="es-PE"/>
              </w:rPr>
              <w:t>ROC-AUC</w:t>
            </w:r>
          </w:p>
        </w:tc>
        <w:tc>
          <w:tcPr>
            <w:tcW w:w="750" w:type="dxa"/>
            <w:tcBorders>
              <w:bottom w:val="single" w:sz="4" w:space="0" w:color="000000"/>
            </w:tcBorders>
            <w:vAlign w:val="center"/>
          </w:tcPr>
          <w:p w14:paraId="497B81AB" w14:textId="77777777" w:rsidR="00000000" w:rsidRDefault="00000000">
            <w:pPr>
              <w:snapToGrid w:val="0"/>
              <w:spacing w:before="36" w:after="36"/>
            </w:pPr>
            <w:r>
              <w:rPr>
                <w:rFonts w:ascii="Times New Roman" w:hAnsi="Times New Roman" w:cs="Times New Roman"/>
                <w:b/>
                <w:bCs/>
                <w:sz w:val="16"/>
                <w:szCs w:val="16"/>
                <w:lang w:val="es-PE"/>
              </w:rPr>
              <w:t>PR-AUC</w:t>
            </w:r>
          </w:p>
        </w:tc>
      </w:tr>
      <w:tr w:rsidR="00000000" w14:paraId="5075CE6C" w14:textId="77777777">
        <w:trPr>
          <w:jc w:val="center"/>
        </w:trPr>
        <w:tc>
          <w:tcPr>
            <w:tcW w:w="987" w:type="dxa"/>
            <w:vAlign w:val="center"/>
          </w:tcPr>
          <w:p w14:paraId="4DF2260E" w14:textId="77777777" w:rsidR="00000000" w:rsidRDefault="00000000">
            <w:pPr>
              <w:snapToGrid w:val="0"/>
              <w:spacing w:before="36" w:after="36"/>
            </w:pPr>
            <w:r>
              <w:rPr>
                <w:rFonts w:ascii="Times New Roman" w:hAnsi="Times New Roman" w:cs="Times New Roman"/>
                <w:sz w:val="16"/>
                <w:szCs w:val="16"/>
                <w:lang w:val="es-PE"/>
              </w:rPr>
              <w:t>Full Model (69 Features)</w:t>
            </w:r>
          </w:p>
        </w:tc>
        <w:tc>
          <w:tcPr>
            <w:tcW w:w="750" w:type="dxa"/>
            <w:vAlign w:val="center"/>
          </w:tcPr>
          <w:p w14:paraId="5DAAC81E" w14:textId="77777777" w:rsidR="00000000" w:rsidRDefault="00000000">
            <w:pPr>
              <w:snapToGrid w:val="0"/>
              <w:spacing w:before="36" w:after="36"/>
            </w:pPr>
            <w:r>
              <w:rPr>
                <w:rFonts w:ascii="Times New Roman" w:hAnsi="Times New Roman" w:cs="Times New Roman"/>
                <w:sz w:val="16"/>
                <w:szCs w:val="16"/>
                <w:lang w:val="es-PE"/>
              </w:rPr>
              <w:t>69</w:t>
            </w:r>
          </w:p>
        </w:tc>
        <w:tc>
          <w:tcPr>
            <w:tcW w:w="598" w:type="dxa"/>
            <w:vAlign w:val="center"/>
          </w:tcPr>
          <w:p w14:paraId="7BCC095A" w14:textId="77777777" w:rsidR="00000000" w:rsidRDefault="00000000">
            <w:pPr>
              <w:snapToGrid w:val="0"/>
              <w:spacing w:before="36" w:after="36"/>
            </w:pPr>
            <w:r>
              <w:rPr>
                <w:rFonts w:ascii="Times New Roman" w:hAnsi="Times New Roman" w:cs="Times New Roman"/>
                <w:sz w:val="16"/>
                <w:szCs w:val="16"/>
                <w:lang w:val="es-PE"/>
              </w:rPr>
              <w:t>0.466</w:t>
            </w:r>
          </w:p>
        </w:tc>
        <w:tc>
          <w:tcPr>
            <w:tcW w:w="665" w:type="dxa"/>
            <w:vAlign w:val="center"/>
          </w:tcPr>
          <w:p w14:paraId="5D8FB575" w14:textId="77777777" w:rsidR="00000000" w:rsidRDefault="00000000">
            <w:pPr>
              <w:snapToGrid w:val="0"/>
              <w:spacing w:before="36" w:after="36"/>
            </w:pPr>
            <w:r>
              <w:rPr>
                <w:rFonts w:ascii="Times New Roman" w:hAnsi="Times New Roman" w:cs="Times New Roman"/>
                <w:sz w:val="16"/>
                <w:szCs w:val="16"/>
                <w:lang w:val="es-PE"/>
              </w:rPr>
              <w:t>0.541</w:t>
            </w:r>
          </w:p>
        </w:tc>
        <w:tc>
          <w:tcPr>
            <w:tcW w:w="750" w:type="dxa"/>
            <w:vAlign w:val="center"/>
          </w:tcPr>
          <w:p w14:paraId="6D313BC4" w14:textId="77777777" w:rsidR="00000000" w:rsidRDefault="00000000">
            <w:pPr>
              <w:snapToGrid w:val="0"/>
              <w:spacing w:before="36" w:after="36"/>
            </w:pPr>
            <w:r>
              <w:rPr>
                <w:rFonts w:ascii="Times New Roman" w:hAnsi="Times New Roman" w:cs="Times New Roman"/>
                <w:sz w:val="16"/>
                <w:szCs w:val="16"/>
                <w:lang w:val="es-PE"/>
              </w:rPr>
              <w:t>0.410</w:t>
            </w:r>
          </w:p>
        </w:tc>
        <w:tc>
          <w:tcPr>
            <w:tcW w:w="750" w:type="dxa"/>
            <w:vAlign w:val="center"/>
          </w:tcPr>
          <w:p w14:paraId="14CECE7C" w14:textId="77777777" w:rsidR="00000000" w:rsidRDefault="00000000">
            <w:pPr>
              <w:snapToGrid w:val="0"/>
              <w:spacing w:before="36" w:after="36"/>
            </w:pPr>
            <w:r>
              <w:rPr>
                <w:rFonts w:ascii="Times New Roman" w:hAnsi="Times New Roman" w:cs="Times New Roman"/>
                <w:sz w:val="16"/>
                <w:szCs w:val="16"/>
                <w:lang w:val="es-PE"/>
              </w:rPr>
              <w:t>0.788</w:t>
            </w:r>
          </w:p>
        </w:tc>
        <w:tc>
          <w:tcPr>
            <w:tcW w:w="750" w:type="dxa"/>
            <w:vAlign w:val="center"/>
          </w:tcPr>
          <w:p w14:paraId="5CD41D53" w14:textId="77777777" w:rsidR="00000000" w:rsidRDefault="00000000">
            <w:pPr>
              <w:snapToGrid w:val="0"/>
              <w:spacing w:before="36" w:after="36"/>
            </w:pPr>
            <w:r>
              <w:rPr>
                <w:rFonts w:ascii="Times New Roman" w:hAnsi="Times New Roman" w:cs="Times New Roman"/>
                <w:sz w:val="16"/>
                <w:szCs w:val="16"/>
                <w:lang w:val="es-PE"/>
              </w:rPr>
              <w:t>0.507</w:t>
            </w:r>
          </w:p>
        </w:tc>
      </w:tr>
      <w:tr w:rsidR="00000000" w14:paraId="46EEA4FB" w14:textId="77777777">
        <w:trPr>
          <w:jc w:val="center"/>
        </w:trPr>
        <w:tc>
          <w:tcPr>
            <w:tcW w:w="987" w:type="dxa"/>
            <w:vAlign w:val="center"/>
          </w:tcPr>
          <w:p w14:paraId="527CD3D5" w14:textId="77777777" w:rsidR="00000000" w:rsidRDefault="00000000">
            <w:pPr>
              <w:snapToGrid w:val="0"/>
              <w:spacing w:before="36" w:after="36"/>
            </w:pPr>
            <w:r>
              <w:rPr>
                <w:rFonts w:ascii="Times New Roman" w:hAnsi="Times New Roman" w:cs="Times New Roman"/>
                <w:sz w:val="16"/>
                <w:szCs w:val="16"/>
                <w:lang w:val="es-PE"/>
              </w:rPr>
              <w:t>Without Historical Growth Features</w:t>
            </w:r>
          </w:p>
        </w:tc>
        <w:tc>
          <w:tcPr>
            <w:tcW w:w="750" w:type="dxa"/>
            <w:vAlign w:val="center"/>
          </w:tcPr>
          <w:p w14:paraId="19D780FA" w14:textId="77777777" w:rsidR="00000000" w:rsidRDefault="00000000">
            <w:pPr>
              <w:snapToGrid w:val="0"/>
              <w:spacing w:before="36" w:after="36"/>
            </w:pPr>
            <w:r>
              <w:rPr>
                <w:rFonts w:ascii="Times New Roman" w:hAnsi="Times New Roman" w:cs="Times New Roman"/>
                <w:sz w:val="16"/>
                <w:szCs w:val="16"/>
                <w:lang w:val="es-PE"/>
              </w:rPr>
              <w:t>66</w:t>
            </w:r>
          </w:p>
        </w:tc>
        <w:tc>
          <w:tcPr>
            <w:tcW w:w="598" w:type="dxa"/>
            <w:vAlign w:val="center"/>
          </w:tcPr>
          <w:p w14:paraId="7B7BAE30" w14:textId="77777777" w:rsidR="00000000" w:rsidRDefault="00000000">
            <w:pPr>
              <w:snapToGrid w:val="0"/>
              <w:spacing w:before="36" w:after="36"/>
            </w:pPr>
            <w:r>
              <w:rPr>
                <w:rFonts w:ascii="Times New Roman" w:hAnsi="Times New Roman" w:cs="Times New Roman"/>
                <w:sz w:val="16"/>
                <w:szCs w:val="16"/>
                <w:lang w:val="es-PE"/>
              </w:rPr>
              <w:t>0.471</w:t>
            </w:r>
          </w:p>
        </w:tc>
        <w:tc>
          <w:tcPr>
            <w:tcW w:w="665" w:type="dxa"/>
            <w:vAlign w:val="center"/>
          </w:tcPr>
          <w:p w14:paraId="52D6708E" w14:textId="77777777" w:rsidR="00000000" w:rsidRDefault="00000000">
            <w:pPr>
              <w:snapToGrid w:val="0"/>
              <w:spacing w:before="36" w:after="36"/>
            </w:pPr>
            <w:r>
              <w:rPr>
                <w:rFonts w:ascii="Times New Roman" w:hAnsi="Times New Roman" w:cs="Times New Roman"/>
                <w:sz w:val="16"/>
                <w:szCs w:val="16"/>
                <w:lang w:val="es-PE"/>
              </w:rPr>
              <w:t>0.552</w:t>
            </w:r>
          </w:p>
        </w:tc>
        <w:tc>
          <w:tcPr>
            <w:tcW w:w="750" w:type="dxa"/>
            <w:vAlign w:val="center"/>
          </w:tcPr>
          <w:p w14:paraId="07A8E104" w14:textId="77777777" w:rsidR="00000000" w:rsidRDefault="00000000">
            <w:pPr>
              <w:snapToGrid w:val="0"/>
              <w:spacing w:before="36" w:after="36"/>
            </w:pPr>
            <w:r>
              <w:rPr>
                <w:rFonts w:ascii="Times New Roman" w:hAnsi="Times New Roman" w:cs="Times New Roman"/>
                <w:sz w:val="16"/>
                <w:szCs w:val="16"/>
                <w:lang w:val="es-PE"/>
              </w:rPr>
              <w:t>0.411</w:t>
            </w:r>
          </w:p>
        </w:tc>
        <w:tc>
          <w:tcPr>
            <w:tcW w:w="750" w:type="dxa"/>
            <w:vAlign w:val="center"/>
          </w:tcPr>
          <w:p w14:paraId="74CCF95E" w14:textId="77777777" w:rsidR="00000000" w:rsidRDefault="00000000">
            <w:pPr>
              <w:snapToGrid w:val="0"/>
              <w:spacing w:before="36" w:after="36"/>
            </w:pPr>
            <w:r>
              <w:rPr>
                <w:rFonts w:ascii="Times New Roman" w:hAnsi="Times New Roman" w:cs="Times New Roman"/>
                <w:sz w:val="16"/>
                <w:szCs w:val="16"/>
                <w:lang w:val="es-PE"/>
              </w:rPr>
              <w:t>0.810</w:t>
            </w:r>
          </w:p>
        </w:tc>
        <w:tc>
          <w:tcPr>
            <w:tcW w:w="750" w:type="dxa"/>
            <w:vAlign w:val="center"/>
          </w:tcPr>
          <w:p w14:paraId="76877DB6" w14:textId="77777777" w:rsidR="00000000" w:rsidRDefault="00000000">
            <w:pPr>
              <w:snapToGrid w:val="0"/>
              <w:spacing w:before="36" w:after="36"/>
            </w:pPr>
            <w:r>
              <w:rPr>
                <w:rFonts w:ascii="Times New Roman" w:hAnsi="Times New Roman" w:cs="Times New Roman"/>
                <w:sz w:val="16"/>
                <w:szCs w:val="16"/>
                <w:lang w:val="es-PE"/>
              </w:rPr>
              <w:t>0.521</w:t>
            </w:r>
          </w:p>
        </w:tc>
      </w:tr>
      <w:tr w:rsidR="00000000" w14:paraId="789203D0" w14:textId="77777777">
        <w:trPr>
          <w:jc w:val="center"/>
        </w:trPr>
        <w:tc>
          <w:tcPr>
            <w:tcW w:w="987" w:type="dxa"/>
            <w:vAlign w:val="center"/>
          </w:tcPr>
          <w:p w14:paraId="4C3C0062" w14:textId="77777777" w:rsidR="00000000" w:rsidRDefault="00000000">
            <w:pPr>
              <w:snapToGrid w:val="0"/>
              <w:spacing w:before="36" w:after="36"/>
            </w:pPr>
            <w:r>
              <w:rPr>
                <w:rFonts w:ascii="Times New Roman" w:hAnsi="Times New Roman" w:cs="Times New Roman"/>
                <w:sz w:val="16"/>
                <w:szCs w:val="16"/>
                <w:lang w:val="es-PE"/>
              </w:rPr>
              <w:t>Without Frequency Encoding</w:t>
            </w:r>
          </w:p>
        </w:tc>
        <w:tc>
          <w:tcPr>
            <w:tcW w:w="750" w:type="dxa"/>
            <w:vAlign w:val="center"/>
          </w:tcPr>
          <w:p w14:paraId="34E78938" w14:textId="77777777" w:rsidR="00000000" w:rsidRDefault="00000000">
            <w:pPr>
              <w:snapToGrid w:val="0"/>
              <w:spacing w:before="36" w:after="36"/>
            </w:pPr>
            <w:r>
              <w:rPr>
                <w:rFonts w:ascii="Times New Roman" w:hAnsi="Times New Roman" w:cs="Times New Roman"/>
                <w:sz w:val="16"/>
                <w:szCs w:val="16"/>
                <w:lang w:val="es-PE"/>
              </w:rPr>
              <w:t>64</w:t>
            </w:r>
          </w:p>
        </w:tc>
        <w:tc>
          <w:tcPr>
            <w:tcW w:w="598" w:type="dxa"/>
            <w:vAlign w:val="center"/>
          </w:tcPr>
          <w:p w14:paraId="3187E61D" w14:textId="77777777" w:rsidR="00000000" w:rsidRDefault="00000000">
            <w:pPr>
              <w:snapToGrid w:val="0"/>
              <w:spacing w:before="36" w:after="36"/>
            </w:pPr>
            <w:r>
              <w:rPr>
                <w:rFonts w:ascii="Times New Roman" w:hAnsi="Times New Roman" w:cs="Times New Roman"/>
                <w:sz w:val="16"/>
                <w:szCs w:val="16"/>
                <w:lang w:val="es-PE"/>
              </w:rPr>
              <w:t>0.458</w:t>
            </w:r>
          </w:p>
        </w:tc>
        <w:tc>
          <w:tcPr>
            <w:tcW w:w="665" w:type="dxa"/>
            <w:vAlign w:val="center"/>
          </w:tcPr>
          <w:p w14:paraId="4593A5ED" w14:textId="77777777" w:rsidR="00000000" w:rsidRDefault="00000000">
            <w:pPr>
              <w:snapToGrid w:val="0"/>
              <w:spacing w:before="36" w:after="36"/>
            </w:pPr>
            <w:r>
              <w:rPr>
                <w:rFonts w:ascii="Times New Roman" w:hAnsi="Times New Roman" w:cs="Times New Roman"/>
                <w:sz w:val="16"/>
                <w:szCs w:val="16"/>
                <w:lang w:val="es-PE"/>
              </w:rPr>
              <w:t>0.622</w:t>
            </w:r>
          </w:p>
        </w:tc>
        <w:tc>
          <w:tcPr>
            <w:tcW w:w="750" w:type="dxa"/>
            <w:vAlign w:val="center"/>
          </w:tcPr>
          <w:p w14:paraId="4C514233" w14:textId="77777777" w:rsidR="00000000" w:rsidRDefault="00000000">
            <w:pPr>
              <w:snapToGrid w:val="0"/>
              <w:spacing w:before="36" w:after="36"/>
            </w:pPr>
            <w:r>
              <w:rPr>
                <w:rFonts w:ascii="Times New Roman" w:hAnsi="Times New Roman" w:cs="Times New Roman"/>
                <w:sz w:val="16"/>
                <w:szCs w:val="16"/>
                <w:lang w:val="es-PE"/>
              </w:rPr>
              <w:t>0.363</w:t>
            </w:r>
          </w:p>
        </w:tc>
        <w:tc>
          <w:tcPr>
            <w:tcW w:w="750" w:type="dxa"/>
            <w:vAlign w:val="center"/>
          </w:tcPr>
          <w:p w14:paraId="646574D8" w14:textId="77777777" w:rsidR="00000000" w:rsidRDefault="00000000">
            <w:pPr>
              <w:snapToGrid w:val="0"/>
              <w:spacing w:before="36" w:after="36"/>
            </w:pPr>
            <w:r>
              <w:rPr>
                <w:rFonts w:ascii="Times New Roman" w:hAnsi="Times New Roman" w:cs="Times New Roman"/>
                <w:sz w:val="16"/>
                <w:szCs w:val="16"/>
                <w:lang w:val="es-PE"/>
              </w:rPr>
              <w:t>0.818</w:t>
            </w:r>
          </w:p>
        </w:tc>
        <w:tc>
          <w:tcPr>
            <w:tcW w:w="750" w:type="dxa"/>
            <w:vAlign w:val="center"/>
          </w:tcPr>
          <w:p w14:paraId="234065E7" w14:textId="77777777" w:rsidR="00000000" w:rsidRDefault="00000000">
            <w:pPr>
              <w:snapToGrid w:val="0"/>
              <w:spacing w:before="36" w:after="36"/>
            </w:pPr>
            <w:r>
              <w:rPr>
                <w:rFonts w:ascii="Times New Roman" w:hAnsi="Times New Roman" w:cs="Times New Roman"/>
                <w:sz w:val="16"/>
                <w:szCs w:val="16"/>
                <w:lang w:val="es-PE"/>
              </w:rPr>
              <w:t>0.522</w:t>
            </w:r>
          </w:p>
        </w:tc>
      </w:tr>
      <w:tr w:rsidR="00000000" w14:paraId="4DFA4C42" w14:textId="77777777">
        <w:trPr>
          <w:jc w:val="center"/>
        </w:trPr>
        <w:tc>
          <w:tcPr>
            <w:tcW w:w="987" w:type="dxa"/>
            <w:vAlign w:val="center"/>
          </w:tcPr>
          <w:p w14:paraId="14A94BE9" w14:textId="77777777" w:rsidR="00000000" w:rsidRDefault="00000000">
            <w:pPr>
              <w:snapToGrid w:val="0"/>
              <w:spacing w:before="36" w:after="36"/>
            </w:pPr>
            <w:r>
              <w:rPr>
                <w:rFonts w:ascii="Times New Roman" w:hAnsi="Times New Roman" w:cs="Times New Roman"/>
                <w:sz w:val="16"/>
                <w:szCs w:val="16"/>
                <w:lang w:val="es-PE"/>
              </w:rPr>
              <w:t>Without Interaction Features</w:t>
            </w:r>
          </w:p>
        </w:tc>
        <w:tc>
          <w:tcPr>
            <w:tcW w:w="750" w:type="dxa"/>
            <w:vAlign w:val="center"/>
          </w:tcPr>
          <w:p w14:paraId="3DD1DB2C" w14:textId="77777777" w:rsidR="00000000" w:rsidRDefault="00000000">
            <w:pPr>
              <w:snapToGrid w:val="0"/>
              <w:spacing w:before="36" w:after="36"/>
            </w:pPr>
            <w:r>
              <w:rPr>
                <w:rFonts w:ascii="Times New Roman" w:hAnsi="Times New Roman" w:cs="Times New Roman"/>
                <w:sz w:val="16"/>
                <w:szCs w:val="16"/>
                <w:lang w:val="es-PE"/>
              </w:rPr>
              <w:t>26</w:t>
            </w:r>
          </w:p>
        </w:tc>
        <w:tc>
          <w:tcPr>
            <w:tcW w:w="598" w:type="dxa"/>
            <w:vAlign w:val="center"/>
          </w:tcPr>
          <w:p w14:paraId="36D2034C" w14:textId="77777777" w:rsidR="00000000" w:rsidRDefault="00000000">
            <w:pPr>
              <w:snapToGrid w:val="0"/>
              <w:spacing w:before="36" w:after="36"/>
            </w:pPr>
            <w:r>
              <w:rPr>
                <w:rFonts w:ascii="Times New Roman" w:hAnsi="Times New Roman" w:cs="Times New Roman"/>
                <w:sz w:val="16"/>
                <w:szCs w:val="16"/>
                <w:lang w:val="es-PE"/>
              </w:rPr>
              <w:t>0.415</w:t>
            </w:r>
          </w:p>
        </w:tc>
        <w:tc>
          <w:tcPr>
            <w:tcW w:w="665" w:type="dxa"/>
            <w:vAlign w:val="center"/>
          </w:tcPr>
          <w:p w14:paraId="31D54C0F" w14:textId="77777777" w:rsidR="00000000" w:rsidRDefault="00000000">
            <w:pPr>
              <w:snapToGrid w:val="0"/>
              <w:spacing w:before="36" w:after="36"/>
            </w:pPr>
            <w:r>
              <w:rPr>
                <w:rFonts w:ascii="Times New Roman" w:hAnsi="Times New Roman" w:cs="Times New Roman"/>
                <w:sz w:val="16"/>
                <w:szCs w:val="16"/>
                <w:lang w:val="es-PE"/>
              </w:rPr>
              <w:t>0.634</w:t>
            </w:r>
          </w:p>
        </w:tc>
        <w:tc>
          <w:tcPr>
            <w:tcW w:w="750" w:type="dxa"/>
            <w:vAlign w:val="center"/>
          </w:tcPr>
          <w:p w14:paraId="5ED39FEF" w14:textId="77777777" w:rsidR="00000000" w:rsidRDefault="00000000">
            <w:pPr>
              <w:snapToGrid w:val="0"/>
              <w:spacing w:before="36" w:after="36"/>
            </w:pPr>
            <w:r>
              <w:rPr>
                <w:rFonts w:ascii="Times New Roman" w:hAnsi="Times New Roman" w:cs="Times New Roman"/>
                <w:sz w:val="16"/>
                <w:szCs w:val="16"/>
                <w:lang w:val="es-PE"/>
              </w:rPr>
              <w:t>0.309</w:t>
            </w:r>
          </w:p>
        </w:tc>
        <w:tc>
          <w:tcPr>
            <w:tcW w:w="750" w:type="dxa"/>
            <w:vAlign w:val="center"/>
          </w:tcPr>
          <w:p w14:paraId="77AB6E69" w14:textId="77777777" w:rsidR="00000000" w:rsidRDefault="00000000">
            <w:pPr>
              <w:snapToGrid w:val="0"/>
              <w:spacing w:before="36" w:after="36"/>
            </w:pPr>
            <w:r>
              <w:rPr>
                <w:rFonts w:ascii="Times New Roman" w:hAnsi="Times New Roman" w:cs="Times New Roman"/>
                <w:sz w:val="16"/>
                <w:szCs w:val="16"/>
                <w:lang w:val="es-PE"/>
              </w:rPr>
              <w:t>0.778</w:t>
            </w:r>
          </w:p>
        </w:tc>
        <w:tc>
          <w:tcPr>
            <w:tcW w:w="750" w:type="dxa"/>
            <w:vAlign w:val="center"/>
          </w:tcPr>
          <w:p w14:paraId="06B7A324" w14:textId="77777777" w:rsidR="00000000" w:rsidRDefault="00000000">
            <w:pPr>
              <w:snapToGrid w:val="0"/>
              <w:spacing w:before="36" w:after="36"/>
            </w:pPr>
            <w:r>
              <w:rPr>
                <w:rFonts w:ascii="Times New Roman" w:hAnsi="Times New Roman" w:cs="Times New Roman"/>
                <w:sz w:val="16"/>
                <w:szCs w:val="16"/>
                <w:lang w:val="es-PE"/>
              </w:rPr>
              <w:t>0.348</w:t>
            </w:r>
          </w:p>
        </w:tc>
      </w:tr>
      <w:tr w:rsidR="00000000" w14:paraId="55FD1DA0" w14:textId="77777777">
        <w:trPr>
          <w:jc w:val="center"/>
        </w:trPr>
        <w:tc>
          <w:tcPr>
            <w:tcW w:w="987" w:type="dxa"/>
            <w:vAlign w:val="center"/>
          </w:tcPr>
          <w:p w14:paraId="164C51F3" w14:textId="77777777" w:rsidR="00000000" w:rsidRDefault="00000000">
            <w:pPr>
              <w:snapToGrid w:val="0"/>
              <w:spacing w:before="36" w:after="36"/>
            </w:pPr>
            <w:r>
              <w:rPr>
                <w:rFonts w:ascii="Times New Roman" w:hAnsi="Times New Roman" w:cs="Times New Roman"/>
                <w:sz w:val="16"/>
                <w:szCs w:val="16"/>
                <w:lang w:val="es-PE"/>
              </w:rPr>
              <w:t>Without Territorial Features</w:t>
            </w:r>
          </w:p>
        </w:tc>
        <w:tc>
          <w:tcPr>
            <w:tcW w:w="750" w:type="dxa"/>
            <w:vAlign w:val="center"/>
          </w:tcPr>
          <w:p w14:paraId="08F0A62E" w14:textId="77777777" w:rsidR="00000000" w:rsidRDefault="00000000">
            <w:pPr>
              <w:snapToGrid w:val="0"/>
              <w:spacing w:before="36" w:after="36"/>
            </w:pPr>
            <w:r>
              <w:rPr>
                <w:rFonts w:ascii="Times New Roman" w:hAnsi="Times New Roman" w:cs="Times New Roman"/>
                <w:sz w:val="16"/>
                <w:szCs w:val="16"/>
                <w:lang w:val="es-PE"/>
              </w:rPr>
              <w:t>23</w:t>
            </w:r>
          </w:p>
        </w:tc>
        <w:tc>
          <w:tcPr>
            <w:tcW w:w="598" w:type="dxa"/>
            <w:vAlign w:val="center"/>
          </w:tcPr>
          <w:p w14:paraId="1323F074" w14:textId="77777777" w:rsidR="00000000" w:rsidRDefault="00000000">
            <w:pPr>
              <w:snapToGrid w:val="0"/>
              <w:spacing w:before="36" w:after="36"/>
            </w:pPr>
            <w:r>
              <w:rPr>
                <w:rFonts w:ascii="Times New Roman" w:hAnsi="Times New Roman" w:cs="Times New Roman"/>
                <w:sz w:val="16"/>
                <w:szCs w:val="16"/>
                <w:lang w:val="es-PE"/>
              </w:rPr>
              <w:t>0.415</w:t>
            </w:r>
          </w:p>
        </w:tc>
        <w:tc>
          <w:tcPr>
            <w:tcW w:w="665" w:type="dxa"/>
            <w:vAlign w:val="center"/>
          </w:tcPr>
          <w:p w14:paraId="64CC5F64" w14:textId="77777777" w:rsidR="00000000" w:rsidRDefault="00000000">
            <w:pPr>
              <w:snapToGrid w:val="0"/>
              <w:spacing w:before="36" w:after="36"/>
            </w:pPr>
            <w:r>
              <w:rPr>
                <w:rFonts w:ascii="Times New Roman" w:hAnsi="Times New Roman" w:cs="Times New Roman"/>
                <w:sz w:val="16"/>
                <w:szCs w:val="16"/>
                <w:lang w:val="es-PE"/>
              </w:rPr>
              <w:t>0.721</w:t>
            </w:r>
          </w:p>
        </w:tc>
        <w:tc>
          <w:tcPr>
            <w:tcW w:w="750" w:type="dxa"/>
            <w:vAlign w:val="center"/>
          </w:tcPr>
          <w:p w14:paraId="0F746396" w14:textId="77777777" w:rsidR="00000000" w:rsidRDefault="00000000">
            <w:pPr>
              <w:snapToGrid w:val="0"/>
              <w:spacing w:before="36" w:after="36"/>
            </w:pPr>
            <w:r>
              <w:rPr>
                <w:rFonts w:ascii="Times New Roman" w:hAnsi="Times New Roman" w:cs="Times New Roman"/>
                <w:sz w:val="16"/>
                <w:szCs w:val="16"/>
                <w:lang w:val="es-PE"/>
              </w:rPr>
              <w:t>0.292</w:t>
            </w:r>
          </w:p>
        </w:tc>
        <w:tc>
          <w:tcPr>
            <w:tcW w:w="750" w:type="dxa"/>
            <w:vAlign w:val="center"/>
          </w:tcPr>
          <w:p w14:paraId="7F1D2650" w14:textId="77777777" w:rsidR="00000000" w:rsidRDefault="00000000">
            <w:pPr>
              <w:snapToGrid w:val="0"/>
              <w:spacing w:before="36" w:after="36"/>
            </w:pPr>
            <w:r>
              <w:rPr>
                <w:rFonts w:ascii="Times New Roman" w:hAnsi="Times New Roman" w:cs="Times New Roman"/>
                <w:sz w:val="16"/>
                <w:szCs w:val="16"/>
                <w:lang w:val="es-PE"/>
              </w:rPr>
              <w:t>0.792</w:t>
            </w:r>
          </w:p>
        </w:tc>
        <w:tc>
          <w:tcPr>
            <w:tcW w:w="750" w:type="dxa"/>
            <w:vAlign w:val="center"/>
          </w:tcPr>
          <w:p w14:paraId="1C53CD71" w14:textId="77777777" w:rsidR="00000000" w:rsidRDefault="00000000">
            <w:pPr>
              <w:snapToGrid w:val="0"/>
              <w:spacing w:before="36" w:after="36"/>
            </w:pPr>
            <w:r>
              <w:rPr>
                <w:rFonts w:ascii="Times New Roman" w:hAnsi="Times New Roman" w:cs="Times New Roman"/>
                <w:sz w:val="16"/>
                <w:szCs w:val="16"/>
                <w:lang w:val="es-PE"/>
              </w:rPr>
              <w:t>0.367</w:t>
            </w:r>
          </w:p>
        </w:tc>
      </w:tr>
    </w:tbl>
    <w:p w14:paraId="6A665817" w14:textId="77777777" w:rsidR="00000000" w:rsidRDefault="00000000">
      <w:pPr>
        <w:snapToGrid w:val="0"/>
        <w:ind w:firstLine="360"/>
        <w:jc w:val="both"/>
        <w:rPr>
          <w:rFonts w:ascii="Times New Roman" w:hAnsi="Times New Roman" w:cs="Times New Roman"/>
          <w:lang w:val="en-US"/>
        </w:rPr>
      </w:pPr>
    </w:p>
    <w:p w14:paraId="734E69CE" w14:textId="77777777" w:rsidR="00000000" w:rsidRDefault="00000000">
      <w:pPr>
        <w:snapToGrid w:val="0"/>
        <w:ind w:firstLine="360"/>
        <w:jc w:val="both"/>
        <w:rPr>
          <w:rFonts w:ascii="Times New Roman" w:hAnsi="Times New Roman" w:cs="Times New Roman"/>
          <w:lang w:val="en-US"/>
        </w:rPr>
      </w:pPr>
      <w:r>
        <w:rPr>
          <w:rFonts w:ascii="Times New Roman" w:hAnsi="Times New Roman" w:cs="Times New Roman"/>
          <w:lang w:val="en-US"/>
        </w:rPr>
        <w:t>The removal of categorical interaction features and territorial attributes produced the largest decreases in F1-score observed in the study (0.415 in both cases, compared with 0.466 for the full model).</w:t>
      </w:r>
    </w:p>
    <w:p w14:paraId="223E02EB" w14:textId="77777777" w:rsidR="00000000" w:rsidRDefault="00000000">
      <w:pPr>
        <w:snapToGrid w:val="0"/>
        <w:ind w:firstLine="360"/>
        <w:jc w:val="both"/>
        <w:rPr>
          <w:rFonts w:ascii="Times New Roman" w:hAnsi="Times New Roman" w:cs="Times New Roman"/>
          <w:lang w:val="en-US"/>
        </w:rPr>
      </w:pPr>
      <w:r>
        <w:rPr>
          <w:rFonts w:ascii="Times New Roman" w:hAnsi="Times New Roman" w:cs="Times New Roman"/>
          <w:lang w:val="en-US"/>
        </w:rPr>
        <w:t>Removing the territorial features shifted the model toward a less selective behavior—increasing recall (0.541 → 0.721) at the expense of a substantial reduction in precision (0.410 → 0.292)—whereas excluding the categorical interaction features produced the largest decrease in PR-AUC observed in the study (0.507 → 0.348). Overall, these results indicate that the predictive signal depends primarily on the territorial and institutional structure of the system rather than on the historical variables considered in isolation.</w:t>
      </w:r>
    </w:p>
    <w:p w14:paraId="4002A73F" w14:textId="77777777" w:rsidR="00000000" w:rsidRDefault="00000000">
      <w:pPr>
        <w:snapToGrid w:val="0"/>
        <w:ind w:firstLine="360"/>
        <w:jc w:val="both"/>
        <w:rPr>
          <w:rFonts w:ascii="Times New Roman" w:hAnsi="Times New Roman" w:cs="Times New Roman"/>
          <w:lang w:val="en-US"/>
        </w:rPr>
      </w:pPr>
      <w:r>
        <w:rPr>
          <w:rFonts w:ascii="Times New Roman" w:hAnsi="Times New Roman" w:cs="Times New Roman"/>
          <w:lang w:val="en-US"/>
        </w:rPr>
        <w:t>In contrast, ROC-AUC remained stable or even improved slightly in both variants (0.792 and 0.778 versus 0.788 for the full model), indicating that the model's probabilistic ranking capability is resilient to the removal of these feature groups and that the observed impact on F1-score is mainly attributable to the fixed decision threshold (0.5) used in this experiment, which differs from the calibrated threshold ((\tau = 0.66)) adopted for the final model.</w:t>
      </w:r>
    </w:p>
    <w:p w14:paraId="40D6E65E" w14:textId="77777777" w:rsidR="00000000" w:rsidRDefault="00000000">
      <w:pPr>
        <w:snapToGrid w:val="0"/>
        <w:ind w:firstLine="360"/>
        <w:jc w:val="both"/>
      </w:pPr>
      <w:r>
        <w:rPr>
          <w:rFonts w:ascii="Times New Roman" w:hAnsi="Times New Roman" w:cs="Times New Roman"/>
          <w:lang w:val="en-US"/>
        </w:rPr>
        <w:t>By comparison, removing the historical growth features did not degrade performance (F1 = 0.471), while removing frequency encoding produced only a marginal variation in F1-score (0.458) together with an improvement in ROC-AUC (0.818). These findings indicate informational redundancy with the remaining territorial interaction blocks and empirically validate the previous multicollinearity audit.</w:t>
      </w:r>
    </w:p>
    <w:p w14:paraId="0F506CC2" w14:textId="77777777" w:rsidR="00000000" w:rsidRDefault="00000000">
      <w:pPr>
        <w:pStyle w:val="Ttulo2"/>
      </w:pPr>
      <w:r>
        <w:t>D. Explainability: Global Feature Importance</w:t>
      </w:r>
    </w:p>
    <w:p w14:paraId="1B690254" w14:textId="77777777" w:rsidR="00000000" w:rsidRDefault="00000000">
      <w:pPr>
        <w:snapToGrid w:val="0"/>
        <w:ind w:firstLine="360"/>
        <w:jc w:val="both"/>
        <w:rPr>
          <w:rFonts w:ascii="Times New Roman" w:hAnsi="Times New Roman" w:cs="Times New Roman"/>
          <w:lang w:val="en-US"/>
        </w:rPr>
      </w:pPr>
      <w:r>
        <w:rPr>
          <w:rFonts w:ascii="Times New Roman" w:hAnsi="Times New Roman" w:cs="Times New Roman"/>
          <w:lang w:val="en-US"/>
        </w:rPr>
        <w:t xml:space="preserve">Both permutation importance and the mean absolute SHAP values (Section V) consistently identify the territorial-institutional frequency variables and the </w:t>
      </w:r>
      <w:r>
        <w:rPr>
          <w:rFonts w:ascii="Times New Roman" w:hAnsi="Times New Roman" w:cs="Times New Roman"/>
          <w:i/>
          <w:iCs/>
          <w:lang w:val="en-US"/>
        </w:rPr>
        <w:t>tipo_caso_DENUNCIA</w:t>
      </w:r>
      <w:r>
        <w:rPr>
          <w:rFonts w:ascii="Times New Roman" w:hAnsi="Times New Roman" w:cs="Times New Roman"/>
          <w:lang w:val="en-US"/>
        </w:rPr>
        <w:t xml:space="preserve"> feature as the most influential predictors, consistent with the findings of the ablation study regarding the relevance of territorial features.</w:t>
      </w:r>
    </w:p>
    <w:p w14:paraId="268B1EAB" w14:textId="77777777" w:rsidR="00000000" w:rsidRDefault="00000000">
      <w:pPr>
        <w:snapToGrid w:val="0"/>
        <w:ind w:firstLine="360"/>
        <w:jc w:val="both"/>
      </w:pPr>
      <w:r>
        <w:rPr>
          <w:rFonts w:ascii="Times New Roman" w:hAnsi="Times New Roman" w:cs="Times New Roman"/>
          <w:lang w:val="en-US"/>
        </w:rPr>
        <w:t xml:space="preserve">The SHAP interaction analysis identified the combination </w:t>
      </w:r>
      <w:r>
        <w:rPr>
          <w:rFonts w:ascii="Times New Roman" w:hAnsi="Times New Roman" w:cs="Times New Roman"/>
          <w:i/>
          <w:iCs/>
          <w:lang w:val="en-US"/>
        </w:rPr>
        <w:t>freq_inter_distrito_tipo_caso</w:t>
      </w:r>
      <w:r>
        <w:rPr>
          <w:rFonts w:ascii="Times New Roman" w:hAnsi="Times New Roman" w:cs="Times New Roman"/>
          <w:lang w:val="en-US"/>
        </w:rPr>
        <w:t xml:space="preserve"> × </w:t>
      </w:r>
      <w:r>
        <w:rPr>
          <w:rFonts w:ascii="Times New Roman" w:hAnsi="Times New Roman" w:cs="Times New Roman"/>
          <w:i/>
          <w:iCs/>
          <w:lang w:val="en-US"/>
        </w:rPr>
        <w:t>ubigeo_pjfs</w:t>
      </w:r>
      <w:r>
        <w:rPr>
          <w:rFonts w:ascii="Times New Roman" w:hAnsi="Times New Roman" w:cs="Times New Roman"/>
          <w:lang w:val="en-US"/>
        </w:rPr>
        <w:t xml:space="preserve"> as the feature pair with the highest mean interaction value (0.108). Furthermore, the controlled counterfactual analysis showed that, in several individual cases, a single feature was sufficient to cross the decision threshold, highlighting that the model is more sensitive to the institutional typology of the case than to the accumulated historical workload.</w:t>
      </w:r>
    </w:p>
    <w:p w14:paraId="42244AE8" w14:textId="77777777" w:rsidR="00000000" w:rsidRDefault="00000000">
      <w:pPr>
        <w:pStyle w:val="Ttulo2"/>
      </w:pPr>
      <w:r>
        <w:t>E. Temporal Robustness and Uncertainty Quantification</w:t>
      </w:r>
    </w:p>
    <w:p w14:paraId="055A7662" w14:textId="77777777" w:rsidR="00000000" w:rsidRDefault="00000000">
      <w:pPr>
        <w:snapToGrid w:val="0"/>
        <w:ind w:firstLine="360"/>
        <w:jc w:val="both"/>
        <w:rPr>
          <w:rFonts w:ascii="Times New Roman" w:hAnsi="Times New Roman" w:cs="Times New Roman"/>
          <w:lang w:val="en-US"/>
        </w:rPr>
      </w:pPr>
      <w:r>
        <w:rPr>
          <w:rFonts w:ascii="Times New Roman" w:hAnsi="Times New Roman" w:cs="Times New Roman"/>
          <w:lang w:val="en-US"/>
        </w:rPr>
        <w:t xml:space="preserve">Figure 8 shows that the model maintains adequate calibration for low predicted probabilities, although it exhibits overconfidence in the medium-to-high probability range (ECE = 0.091; MCE = 0.464). </w:t>
      </w:r>
    </w:p>
    <w:p w14:paraId="7A7C47BE" w14:textId="77777777" w:rsidR="00000000" w:rsidRDefault="00000000">
      <w:pPr>
        <w:snapToGrid w:val="0"/>
        <w:ind w:firstLine="360"/>
        <w:jc w:val="both"/>
        <w:rPr>
          <w:rFonts w:ascii="Times New Roman" w:hAnsi="Times New Roman" w:cs="Times New Roman"/>
          <w:lang w:val="en-US"/>
        </w:rPr>
      </w:pPr>
      <w:r>
        <w:rPr>
          <w:rFonts w:ascii="Times New Roman" w:hAnsi="Times New Roman" w:cs="Times New Roman"/>
          <w:lang w:val="en-US"/>
        </w:rPr>
        <w:t>Since the operational decision threshold ((\tau = 0.66)) is located near this region, the predicted score should be interpreted as a relative prioritization criterion rather than as an exactly calibrated probability.</w:t>
      </w:r>
    </w:p>
    <w:p w14:paraId="0CD9426E" w14:textId="77777777" w:rsidR="00000000" w:rsidRDefault="00000000">
      <w:pPr>
        <w:snapToGrid w:val="0"/>
        <w:ind w:firstLine="360"/>
        <w:jc w:val="both"/>
        <w:rPr>
          <w:rFonts w:ascii="Times New Roman" w:hAnsi="Times New Roman" w:cs="Times New Roman"/>
          <w:lang w:val="en-US"/>
        </w:rPr>
      </w:pPr>
    </w:p>
    <w:p w14:paraId="05D639ED" w14:textId="77777777" w:rsidR="00000000" w:rsidRDefault="00000000">
      <w:pPr>
        <w:snapToGrid w:val="0"/>
        <w:ind w:firstLine="907"/>
        <w:jc w:val="both"/>
        <w:rPr>
          <w:b/>
          <w:bCs/>
        </w:rPr>
      </w:pPr>
      <w:r>
        <w:rPr>
          <w:lang w:val="es-PE" w:eastAsia="es-PE"/>
        </w:rPr>
        <w:pict w14:anchorId="0AFBACA4">
          <v:shape id="_x0000_i1038" type="#_x0000_t75" style="width:160.8pt;height:107.4pt" filled="t">
            <v:fill opacity="0" color2="black"/>
            <v:imagedata r:id="rId25" o:title="" croptop="-15f" cropbottom="-15f" cropleft="-2f" cropright="-7f"/>
          </v:shape>
        </w:pict>
      </w:r>
    </w:p>
    <w:p w14:paraId="0678E2E9" w14:textId="77777777" w:rsidR="00000000" w:rsidRDefault="00000000">
      <w:pPr>
        <w:pStyle w:val="TableCaption"/>
      </w:pPr>
      <w:r>
        <w:rPr>
          <w:b/>
          <w:bCs/>
        </w:rPr>
        <w:t>Figure 8.</w:t>
      </w:r>
      <w:r>
        <w:t xml:space="preserve"> Reliability diagram of the final model (LightGBM, (τ= 0.66)) on the 2025 test set.</w:t>
      </w:r>
    </w:p>
    <w:p w14:paraId="66A5C5C1" w14:textId="77777777" w:rsidR="00000000" w:rsidRDefault="00000000">
      <w:pPr>
        <w:pStyle w:val="Ttulo2"/>
      </w:pPr>
      <w:r>
        <w:t>F. Unsupervised Validation and Territorial Fairness</w:t>
      </w:r>
    </w:p>
    <w:p w14:paraId="00A07767" w14:textId="77777777" w:rsidR="00000000" w:rsidRDefault="00000000">
      <w:pPr>
        <w:snapToGrid w:val="0"/>
        <w:ind w:firstLine="360"/>
        <w:jc w:val="both"/>
        <w:rPr>
          <w:rFonts w:ascii="Times New Roman" w:hAnsi="Times New Roman" w:cs="Times New Roman"/>
          <w:lang w:val="en-US"/>
        </w:rPr>
      </w:pPr>
      <w:r>
        <w:rPr>
          <w:rFonts w:ascii="Times New Roman" w:hAnsi="Times New Roman" w:cs="Times New Roman"/>
          <w:lang w:val="en-US"/>
        </w:rPr>
        <w:t>The unsupervised validation confirmed that the clusters with the highest average case backlog concentrated the highest proxy risk rates, supporting the consistency between the identified operational structure and the model predictions (Table VII).</w:t>
      </w:r>
    </w:p>
    <w:p w14:paraId="27114851" w14:textId="77777777" w:rsidR="00000000" w:rsidRDefault="00000000">
      <w:pPr>
        <w:snapToGrid w:val="0"/>
        <w:ind w:firstLine="360"/>
        <w:jc w:val="both"/>
        <w:rPr>
          <w:rFonts w:ascii="Times New Roman" w:hAnsi="Times New Roman" w:cs="Times New Roman"/>
          <w:lang w:val="en-US"/>
        </w:rPr>
      </w:pPr>
      <w:r>
        <w:rPr>
          <w:rFonts w:ascii="Times New Roman" w:hAnsi="Times New Roman" w:cs="Times New Roman"/>
          <w:lang w:val="en-US"/>
        </w:rPr>
        <w:t xml:space="preserve">The preliminary fairness audit identified performance differences across prosecution office types and specialties. These differences should be interpreted as indicators for institutional monitoring rather than as evidence of causal discrimination, in accordance with the literature on the limitations of risk assessment tools in the justice system </w:t>
      </w:r>
      <w:r>
        <w:fldChar w:fldCharType="begin"/>
      </w:r>
      <w:r>
        <w:rPr>
          <w:rFonts w:ascii="Times New Roman" w:hAnsi="Times New Roman" w:cs="Times New Roman"/>
          <w:lang w:val="en-US"/>
        </w:rPr>
        <w:instrText xml:space="preserve"> ADDIN ZOTERO_ITEM CSL_CITATION {"citationID":"OB2Ph0vk","properties":{"unsorted":false,"formattedCitation":"[16]","plainCitation":"[16]","noteIndex":0},"citationItems":[{"id":43,"uris":["http://zotero.org/users/local/0z44BwR0/items/V2MHTV7A"],"itemData":{"id":43,"type":"article-journal","container-title":"Science Advances","DOI":"10.1126/sciadv.aao5580","issue":"1","page":"eaao5580","title":"The accuracy, fairness, and limits of predicting recidivism","URL":"https://doi.org/10.1126/sciadv.aao5580","volume":"4","author":[{"family":"Dressel","given":"Julia"},{"family":"Farid","given":"Hany"}],"issued":{"date-parts":[["2018",1]]}}}],"schema":"https://github.com/citation-style-language/schema/raw/master/csl-citation.json"} </w:instrText>
      </w:r>
      <w:r>
        <w:fldChar w:fldCharType="separate"/>
      </w:r>
      <w:r>
        <w:rPr>
          <w:rFonts w:ascii="Times New Roman" w:hAnsi="Times New Roman" w:cs="Times New Roman"/>
          <w:lang w:val="en-US"/>
        </w:rPr>
        <w:t>[16]</w:t>
      </w:r>
      <w:r>
        <w:rPr>
          <w:rFonts w:ascii="Times New Roman" w:hAnsi="Times New Roman" w:cs="Times New Roman"/>
          <w:lang w:val="en-US"/>
        </w:rPr>
        <w:fldChar w:fldCharType="end"/>
      </w:r>
      <w:r>
        <w:rPr>
          <w:rFonts w:ascii="Times New Roman" w:hAnsi="Times New Roman" w:cs="Times New Roman"/>
          <w:lang w:val="en-US"/>
        </w:rPr>
        <w:t>.</w:t>
      </w:r>
    </w:p>
    <w:p w14:paraId="5D10111C" w14:textId="77777777" w:rsidR="00000000" w:rsidRDefault="00000000">
      <w:pPr>
        <w:snapToGrid w:val="0"/>
        <w:ind w:firstLine="360"/>
        <w:jc w:val="both"/>
      </w:pPr>
      <w:r>
        <w:rPr>
          <w:rFonts w:ascii="Times New Roman" w:hAnsi="Times New Roman" w:cs="Times New Roman"/>
          <w:lang w:val="en-US"/>
        </w:rPr>
        <w:t>Overall, the calibration assessment, unsupervised structure analysis, and fairness audit indicate that the model maintains stable behavior under different validation criteria, reinforcing its reliability as a decision-support tool for operational management.</w:t>
      </w:r>
    </w:p>
    <w:p w14:paraId="4C6D41AA" w14:textId="77777777" w:rsidR="00000000" w:rsidRDefault="00000000">
      <w:pPr>
        <w:pStyle w:val="Ttulo1"/>
      </w:pPr>
      <w:r>
        <w:t>V. Interpretability And Impact</w:t>
      </w:r>
    </w:p>
    <w:p w14:paraId="167CFADD" w14:textId="77777777" w:rsidR="00000000" w:rsidRDefault="00000000">
      <w:pPr>
        <w:pStyle w:val="Ttulo2"/>
      </w:pPr>
      <w:r>
        <w:t>A. Interpretability</w:t>
      </w:r>
    </w:p>
    <w:p w14:paraId="53B0BD89" w14:textId="77777777" w:rsidR="00000000" w:rsidRDefault="00000000">
      <w:pPr>
        <w:snapToGrid w:val="0"/>
        <w:ind w:firstLine="360"/>
        <w:jc w:val="both"/>
        <w:rPr>
          <w:rFonts w:ascii="Times New Roman" w:hAnsi="Times New Roman" w:cs="Times New Roman"/>
          <w:lang w:val="en-US"/>
        </w:rPr>
      </w:pPr>
      <w:r>
        <w:rPr>
          <w:rFonts w:ascii="Times New Roman" w:hAnsi="Times New Roman" w:cs="Times New Roman"/>
          <w:lang w:val="en-US"/>
        </w:rPr>
        <w:t xml:space="preserve">The interpretability analysis is based exclusively on SHAP </w:t>
      </w:r>
      <w:r>
        <w:fldChar w:fldCharType="begin"/>
      </w:r>
      <w:r>
        <w:rPr>
          <w:rFonts w:ascii="Times New Roman" w:hAnsi="Times New Roman" w:cs="Times New Roman"/>
          <w:lang w:val="en-US"/>
        </w:rPr>
        <w:instrText xml:space="preserve"> ADDIN ZOTERO_ITEM CSL_CITATION {"citationID":"oJUsKioC","properties":{"unsorted":false,"formattedCitation":"[14]","plainCitation":"[14]","noteIndex":0},"citationItems":[{"id":42,"uris":["http://zotero.org/users/local/0z44BwR0/items/PEVPJNKG"],"itemData":{"id":42,"type":"article-journal","container-title":"arXiv (Cornell University)","DOI":"10.48550/arxiv.1705.07874","title":"A Unified Approach to Interpreting Model Predictions","URL":"http://arxiv.org/abs/1705.07874","author":[{"family":"Lundberg","given":"Scott"},{"family":"Lee","given":"Su-In"}],"issued":{"date-parts":[["2017",5]]}}}],"schema":"https://github.com/citation-style-language/schema/raw/master/csl-citation.json"} </w:instrText>
      </w:r>
      <w:r>
        <w:fldChar w:fldCharType="separate"/>
      </w:r>
      <w:r>
        <w:rPr>
          <w:rFonts w:ascii="Times New Roman" w:hAnsi="Times New Roman" w:cs="Times New Roman"/>
          <w:lang w:val="en-US"/>
        </w:rPr>
        <w:t>[14]</w:t>
      </w:r>
      <w:r>
        <w:rPr>
          <w:rFonts w:ascii="Times New Roman" w:hAnsi="Times New Roman" w:cs="Times New Roman"/>
          <w:lang w:val="en-US"/>
        </w:rPr>
        <w:fldChar w:fldCharType="end"/>
      </w:r>
      <w:r>
        <w:rPr>
          <w:rFonts w:ascii="Times New Roman" w:hAnsi="Times New Roman" w:cs="Times New Roman"/>
          <w:lang w:val="en-US"/>
        </w:rPr>
        <w:t>, applied to the final model on the 2025 test set. Figure 9 presents the global summary of the mean absolute SHAP values for the most influential features.</w:t>
      </w:r>
    </w:p>
    <w:p w14:paraId="3E641506" w14:textId="77777777" w:rsidR="00000000" w:rsidRDefault="00000000">
      <w:pPr>
        <w:snapToGrid w:val="0"/>
        <w:ind w:firstLine="360"/>
        <w:jc w:val="both"/>
        <w:rPr>
          <w:rFonts w:ascii="Times New Roman" w:hAnsi="Times New Roman" w:cs="Times New Roman"/>
          <w:lang w:val="en-US"/>
        </w:rPr>
      </w:pPr>
      <w:r>
        <w:rPr>
          <w:rFonts w:ascii="Times New Roman" w:hAnsi="Times New Roman" w:cs="Times New Roman"/>
          <w:lang w:val="en-US"/>
        </w:rPr>
        <w:lastRenderedPageBreak/>
        <w:t>Figure 9 shows that the model primarily bases its predictions on territorial and institutional patterns rather than on isolated historical variables.</w:t>
      </w:r>
    </w:p>
    <w:p w14:paraId="2087625F" w14:textId="77777777" w:rsidR="00000000" w:rsidRDefault="00000000">
      <w:pPr>
        <w:snapToGrid w:val="0"/>
        <w:ind w:firstLine="360"/>
        <w:jc w:val="both"/>
        <w:rPr>
          <w:rFonts w:ascii="Times New Roman" w:hAnsi="Times New Roman" w:cs="Times New Roman"/>
          <w:lang w:val="en-US"/>
        </w:rPr>
      </w:pPr>
      <w:r>
        <w:rPr>
          <w:rFonts w:ascii="Times New Roman" w:hAnsi="Times New Roman" w:cs="Times New Roman"/>
          <w:lang w:val="en-US"/>
        </w:rPr>
        <w:t>In particular, the features associated with territorial organization, institutional specialization, and operational frequency patterns account for the greatest predictive contribution, suggesting that the proxy risk reflects specific operational configurations of the Public Prosecutor's Office – Office of the Attorney General of Peru (MPFN) rather than the individual volume of operational combinations.</w:t>
      </w:r>
    </w:p>
    <w:p w14:paraId="04D58C2A" w14:textId="77777777" w:rsidR="00000000" w:rsidRDefault="00000000">
      <w:pPr>
        <w:snapToGrid w:val="0"/>
        <w:ind w:firstLine="360"/>
        <w:jc w:val="both"/>
        <w:rPr>
          <w:rFonts w:ascii="Times New Roman" w:hAnsi="Times New Roman" w:cs="Times New Roman"/>
          <w:lang w:val="en-US"/>
        </w:rPr>
      </w:pPr>
      <w:r>
        <w:rPr>
          <w:rFonts w:ascii="Times New Roman" w:hAnsi="Times New Roman" w:cs="Times New Roman"/>
          <w:lang w:val="en-US"/>
        </w:rPr>
        <w:t>Five features account for 53% of the total SHAP signal, whereas the remaining 50 features contribute only 6%, indicating that the model prioritizes operational patterns associated with case processing frequency, territorial organization, and prosecutorial specialization.</w:t>
      </w:r>
    </w:p>
    <w:p w14:paraId="0F6EDCD6" w14:textId="77777777" w:rsidR="00000000" w:rsidRDefault="00000000">
      <w:pPr>
        <w:snapToGrid w:val="0"/>
        <w:ind w:firstLine="360"/>
        <w:jc w:val="both"/>
        <w:rPr>
          <w:rFonts w:ascii="Times New Roman" w:hAnsi="Times New Roman" w:cs="Times New Roman"/>
          <w:lang w:val="en-US"/>
        </w:rPr>
      </w:pPr>
      <w:r>
        <w:rPr>
          <w:rFonts w:ascii="Times New Roman" w:hAnsi="Times New Roman" w:cs="Times New Roman"/>
          <w:lang w:val="en-US"/>
        </w:rPr>
        <w:t>By contrast, the historical features provide complementary information, consistent with the ablation study (Table XI), which showed that interaction features contributed more to predictive performance than individual historical indicators.</w:t>
      </w:r>
    </w:p>
    <w:p w14:paraId="2B1AAC59" w14:textId="77777777" w:rsidR="00000000" w:rsidRDefault="00000000">
      <w:pPr>
        <w:snapToGrid w:val="0"/>
        <w:ind w:firstLine="360"/>
        <w:jc w:val="both"/>
        <w:rPr>
          <w:rFonts w:ascii="Times New Roman" w:hAnsi="Times New Roman" w:cs="Times New Roman"/>
          <w:lang w:val="en-US"/>
        </w:rPr>
      </w:pPr>
    </w:p>
    <w:p w14:paraId="3952AB6C" w14:textId="77777777" w:rsidR="00000000" w:rsidRDefault="00000000">
      <w:pPr>
        <w:snapToGrid w:val="0"/>
        <w:ind w:firstLine="907"/>
        <w:jc w:val="both"/>
        <w:rPr>
          <w:b/>
          <w:bCs/>
        </w:rPr>
      </w:pPr>
      <w:r>
        <w:rPr>
          <w:lang w:val="es-PE" w:eastAsia="es-PE"/>
        </w:rPr>
        <w:pict w14:anchorId="741AD479">
          <v:shape id="_x0000_i1039" type="#_x0000_t75" style="width:176.4pt;height:117.6pt" filled="t">
            <v:fill opacity="0" color2="black"/>
            <v:imagedata r:id="rId26" o:title="" croptop="-19f" cropbottom="-19f" cropleft="-3f" cropright="-6f"/>
          </v:shape>
        </w:pict>
      </w:r>
    </w:p>
    <w:p w14:paraId="338726F3" w14:textId="77777777" w:rsidR="00000000" w:rsidRDefault="00000000">
      <w:pPr>
        <w:pStyle w:val="TableCaption"/>
      </w:pPr>
      <w:r>
        <w:rPr>
          <w:b/>
          <w:bCs/>
        </w:rPr>
        <w:t>Figure 9.</w:t>
      </w:r>
      <w:r>
        <w:t xml:space="preserve"> Global feature importance according to mean SHAP values.</w:t>
      </w:r>
    </w:p>
    <w:p w14:paraId="62EE1483" w14:textId="77777777" w:rsidR="00000000" w:rsidRDefault="00000000">
      <w:pPr>
        <w:snapToGrid w:val="0"/>
        <w:ind w:firstLine="360"/>
        <w:jc w:val="both"/>
        <w:rPr>
          <w:rFonts w:ascii="Times New Roman" w:hAnsi="Times New Roman" w:cs="Times New Roman"/>
          <w:lang w:val="en-US"/>
        </w:rPr>
      </w:pPr>
      <w:r>
        <w:rPr>
          <w:rFonts w:ascii="Times New Roman" w:hAnsi="Times New Roman" w:cs="Times New Roman"/>
          <w:lang w:val="en-US"/>
        </w:rPr>
        <w:t>While Figure 9 summarizes the global importance of the features at the model level, Figure 10 illustrates how these features contribute positively or negatively to individual predictions, making it possible to analyze the variability of their effects across different operational combinations.</w:t>
      </w:r>
    </w:p>
    <w:p w14:paraId="6295D66E" w14:textId="77777777" w:rsidR="00000000" w:rsidRDefault="00000000">
      <w:pPr>
        <w:snapToGrid w:val="0"/>
        <w:ind w:firstLine="360"/>
        <w:jc w:val="both"/>
        <w:rPr>
          <w:rFonts w:ascii="Times New Roman" w:hAnsi="Times New Roman" w:cs="Times New Roman"/>
          <w:lang w:val="en-US"/>
        </w:rPr>
      </w:pPr>
      <w:r>
        <w:rPr>
          <w:rFonts w:ascii="Times New Roman" w:hAnsi="Times New Roman" w:cs="Times New Roman"/>
          <w:lang w:val="en-US"/>
        </w:rPr>
        <w:t xml:space="preserve">Whereas some features exhibit relatively stable contributions, others show greater dispersion in their SHAP values, indicating that their effect depends on the operational context and on their interaction with other features within the operational combination. This behavior reflects the nonlinear nature of the model and justifies the use of interpretability tools to understand how different feature configurations modify the predictions </w:t>
      </w:r>
      <w:r>
        <w:fldChar w:fldCharType="begin"/>
      </w:r>
      <w:r>
        <w:rPr>
          <w:rFonts w:ascii="Times New Roman" w:hAnsi="Times New Roman" w:cs="Times New Roman"/>
          <w:lang w:val="en-US"/>
        </w:rPr>
        <w:instrText xml:space="preserve"> ADDIN ZOTERO_ITEM CSL_CITATION {"citationID":"0u8CQTTk","properties":{"unsorted":false,"formattedCitation":"[14]","plainCitation":"[14]","noteIndex":0},"citationItems":[{"id":42,"uris":["http://zotero.org/users/local/0z44BwR0/items/PEVPJNKG"],"itemData":{"id":42,"type":"article-journal","container-title":"arXiv (Cornell University)","DOI":"10.48550/arxiv.1705.07874","title":"A Unified Approach to Interpreting Model Predictions","URL":"http://arxiv.org/abs/1705.07874","author":[{"family":"Lundberg","given":"Scott"},{"family":"Lee","given":"Su-In"}],"issued":{"date-parts":[["2017",5]]}}}],"schema":"https://github.com/citation-style-language/schema/raw/master/csl-citation.json"} </w:instrText>
      </w:r>
      <w:r>
        <w:fldChar w:fldCharType="separate"/>
      </w:r>
      <w:r>
        <w:rPr>
          <w:rFonts w:ascii="Times New Roman" w:hAnsi="Times New Roman" w:cs="Times New Roman"/>
          <w:lang w:val="en-US"/>
        </w:rPr>
        <w:t>[14]</w:t>
      </w:r>
      <w:r>
        <w:rPr>
          <w:rFonts w:ascii="Times New Roman" w:hAnsi="Times New Roman" w:cs="Times New Roman"/>
          <w:lang w:val="en-US"/>
        </w:rPr>
        <w:fldChar w:fldCharType="end"/>
      </w:r>
      <w:r>
        <w:rPr>
          <w:rFonts w:ascii="Times New Roman" w:hAnsi="Times New Roman" w:cs="Times New Roman"/>
          <w:lang w:val="en-US"/>
        </w:rPr>
        <w:t>.</w:t>
      </w:r>
    </w:p>
    <w:p w14:paraId="295028EE" w14:textId="77777777" w:rsidR="00000000" w:rsidRDefault="00000000">
      <w:pPr>
        <w:snapToGrid w:val="0"/>
        <w:ind w:firstLine="360"/>
        <w:jc w:val="both"/>
        <w:rPr>
          <w:rFonts w:ascii="Times New Roman" w:hAnsi="Times New Roman" w:cs="Times New Roman"/>
          <w:lang w:val="en-US"/>
        </w:rPr>
      </w:pPr>
    </w:p>
    <w:p w14:paraId="033F0CAE" w14:textId="77777777" w:rsidR="00000000" w:rsidRDefault="00000000">
      <w:pPr>
        <w:snapToGrid w:val="0"/>
        <w:ind w:firstLine="709"/>
        <w:jc w:val="both"/>
        <w:rPr>
          <w:b/>
          <w:bCs/>
        </w:rPr>
      </w:pPr>
      <w:r>
        <w:rPr>
          <w:lang w:val="es-PE" w:eastAsia="es-PE"/>
        </w:rPr>
        <w:pict w14:anchorId="445613B1">
          <v:shape id="_x0000_i1040" type="#_x0000_t75" style="width:195.6pt;height:109.8pt" filled="t">
            <v:fill opacity="0" color2="black"/>
            <v:imagedata r:id="rId27" o:title="" croptop="-23f" cropbottom="-23f" cropleft="-3f" cropright="-6f"/>
          </v:shape>
        </w:pict>
      </w:r>
    </w:p>
    <w:p w14:paraId="24D61700" w14:textId="77777777" w:rsidR="00000000" w:rsidRDefault="00000000">
      <w:pPr>
        <w:pStyle w:val="TableCaption"/>
      </w:pPr>
      <w:r>
        <w:rPr>
          <w:b/>
          <w:bCs/>
        </w:rPr>
        <w:t>Figure 10.</w:t>
      </w:r>
      <w:r>
        <w:t xml:space="preserve"> SHAP interaction between territorial frequency and geographic location.</w:t>
      </w:r>
    </w:p>
    <w:p w14:paraId="443D1FC9" w14:textId="77777777" w:rsidR="00000000" w:rsidRDefault="00000000">
      <w:pPr>
        <w:snapToGrid w:val="0"/>
        <w:ind w:firstLine="360"/>
        <w:jc w:val="both"/>
        <w:rPr>
          <w:rFonts w:ascii="Times New Roman" w:hAnsi="Times New Roman" w:cs="Times New Roman"/>
          <w:lang w:val="en-US"/>
        </w:rPr>
      </w:pPr>
      <w:r>
        <w:rPr>
          <w:rFonts w:ascii="Times New Roman" w:hAnsi="Times New Roman" w:cs="Times New Roman"/>
          <w:lang w:val="en-US"/>
        </w:rPr>
        <w:t>These results suggest that the proxy risk does not depend on geographic location or case type in isolation, but rather on their specific combination—consistent with the finding of the ablation study that removing interaction features degrades predictive performance more than removing any other individual feature group.</w:t>
      </w:r>
    </w:p>
    <w:p w14:paraId="77F9491E" w14:textId="77777777" w:rsidR="00000000" w:rsidRDefault="00000000">
      <w:pPr>
        <w:snapToGrid w:val="0"/>
        <w:ind w:firstLine="360"/>
        <w:jc w:val="both"/>
      </w:pPr>
      <w:r>
        <w:rPr>
          <w:rFonts w:ascii="Times New Roman" w:hAnsi="Times New Roman" w:cs="Times New Roman"/>
          <w:lang w:val="en-US"/>
        </w:rPr>
        <w:t>These findings should be interpreted as global predictive associations learned by the model rather than as causal relationships.</w:t>
      </w:r>
    </w:p>
    <w:p w14:paraId="317701B4" w14:textId="77777777" w:rsidR="00000000" w:rsidRDefault="00000000">
      <w:pPr>
        <w:pStyle w:val="Ttulo2"/>
      </w:pPr>
      <w:r>
        <w:t>B. Operational Impact</w:t>
      </w:r>
    </w:p>
    <w:p w14:paraId="3D892F55" w14:textId="77777777" w:rsidR="00000000" w:rsidRDefault="00000000">
      <w:pPr>
        <w:snapToGrid w:val="0"/>
        <w:ind w:firstLine="360"/>
        <w:jc w:val="both"/>
        <w:rPr>
          <w:rFonts w:ascii="Times New Roman" w:hAnsi="Times New Roman" w:cs="Times New Roman"/>
          <w:lang w:val="en-US"/>
        </w:rPr>
      </w:pPr>
      <w:r>
        <w:rPr>
          <w:rFonts w:ascii="Times New Roman" w:hAnsi="Times New Roman" w:cs="Times New Roman"/>
          <w:lang w:val="en-US"/>
        </w:rPr>
        <w:t>To evaluate the potential operational impact of the model, a sensitivity analysis based on parametric cost assumptions was conducted for illustrative purposes only. A 10:1 cost ratio between a false negative and a false positive was assumed, considering the greater institutional impact of failing to identify a potential alert.</w:t>
      </w:r>
    </w:p>
    <w:p w14:paraId="52E99AA8" w14:textId="77777777" w:rsidR="00000000" w:rsidRDefault="00000000">
      <w:pPr>
        <w:snapToGrid w:val="0"/>
        <w:ind w:firstLine="360"/>
        <w:jc w:val="both"/>
        <w:rPr>
          <w:b/>
          <w:bCs/>
          <w:sz w:val="15"/>
          <w:szCs w:val="15"/>
        </w:rPr>
      </w:pPr>
      <w:r>
        <w:rPr>
          <w:rFonts w:ascii="Times New Roman" w:hAnsi="Times New Roman" w:cs="Times New Roman"/>
          <w:lang w:val="en-US"/>
        </w:rPr>
        <w:t>Under this assumption, a cost of S/ 50,000 was assigned to each false negative and S/ 5,000 to each false positive. Based on the 2025 test set (99 FN, 66 FP, 73 TP, and 961 TN), the model yielded an illustrative estimated loss of S/ 5,280,000 (Table XII). These values do not represent official costs of the Public Prosecutor's Office – Office of the Attorney General of Peru (MPFN) and are intended solely to compare operational scenarios.</w:t>
      </w:r>
    </w:p>
    <w:p w14:paraId="66DF0382" w14:textId="77777777" w:rsidR="00000000" w:rsidRDefault="00000000">
      <w:pPr>
        <w:pStyle w:val="TableCaption"/>
        <w:rPr>
          <w:b/>
          <w:bCs/>
          <w:sz w:val="15"/>
          <w:szCs w:val="15"/>
          <w:lang w:val="es-PE"/>
        </w:rPr>
      </w:pPr>
      <w:r>
        <w:rPr>
          <w:b/>
          <w:bCs/>
          <w:sz w:val="15"/>
          <w:szCs w:val="15"/>
        </w:rPr>
        <w:t xml:space="preserve">TABLE XII. </w:t>
      </w:r>
      <w:r>
        <w:rPr>
          <w:sz w:val="15"/>
          <w:szCs w:val="15"/>
        </w:rPr>
        <w:t>OPERATIONAL IMPACT UNDER ILLUSTRATIVE COST ASSUMPTIONS</w:t>
      </w:r>
    </w:p>
    <w:tbl>
      <w:tblPr>
        <w:tblW w:w="0" w:type="auto"/>
        <w:tblLayout w:type="fixed"/>
        <w:tblLook w:val="0000" w:firstRow="0" w:lastRow="0" w:firstColumn="0" w:lastColumn="0" w:noHBand="0" w:noVBand="0"/>
      </w:tblPr>
      <w:tblGrid>
        <w:gridCol w:w="451"/>
        <w:gridCol w:w="433"/>
        <w:gridCol w:w="442"/>
        <w:gridCol w:w="478"/>
        <w:gridCol w:w="853"/>
        <w:gridCol w:w="786"/>
        <w:gridCol w:w="1153"/>
        <w:gridCol w:w="656"/>
      </w:tblGrid>
      <w:tr w:rsidR="00000000" w14:paraId="4B3C5A75" w14:textId="77777777">
        <w:tc>
          <w:tcPr>
            <w:tcW w:w="451" w:type="dxa"/>
            <w:tcBorders>
              <w:bottom w:val="single" w:sz="4" w:space="0" w:color="000000"/>
            </w:tcBorders>
          </w:tcPr>
          <w:p w14:paraId="14968252" w14:textId="77777777" w:rsidR="00000000" w:rsidRDefault="00000000">
            <w:pPr>
              <w:snapToGrid w:val="0"/>
              <w:spacing w:before="36" w:after="36"/>
              <w:jc w:val="both"/>
            </w:pPr>
            <w:r>
              <w:rPr>
                <w:rFonts w:ascii="Times New Roman" w:hAnsi="Times New Roman" w:cs="Times New Roman"/>
                <w:b/>
                <w:bCs/>
                <w:sz w:val="15"/>
                <w:szCs w:val="15"/>
                <w:lang w:val="es-PE"/>
              </w:rPr>
              <w:t>FN</w:t>
            </w:r>
          </w:p>
        </w:tc>
        <w:tc>
          <w:tcPr>
            <w:tcW w:w="433" w:type="dxa"/>
            <w:tcBorders>
              <w:bottom w:val="single" w:sz="4" w:space="0" w:color="000000"/>
            </w:tcBorders>
          </w:tcPr>
          <w:p w14:paraId="6D12536F" w14:textId="77777777" w:rsidR="00000000" w:rsidRDefault="00000000">
            <w:pPr>
              <w:snapToGrid w:val="0"/>
              <w:spacing w:before="36" w:after="36"/>
              <w:jc w:val="both"/>
            </w:pPr>
            <w:r>
              <w:rPr>
                <w:rFonts w:ascii="Times New Roman" w:hAnsi="Times New Roman" w:cs="Times New Roman"/>
                <w:b/>
                <w:bCs/>
                <w:sz w:val="15"/>
                <w:szCs w:val="15"/>
                <w:lang w:val="es-PE"/>
              </w:rPr>
              <w:t>FP</w:t>
            </w:r>
          </w:p>
        </w:tc>
        <w:tc>
          <w:tcPr>
            <w:tcW w:w="442" w:type="dxa"/>
            <w:tcBorders>
              <w:bottom w:val="single" w:sz="4" w:space="0" w:color="000000"/>
            </w:tcBorders>
          </w:tcPr>
          <w:p w14:paraId="7317CCBF" w14:textId="77777777" w:rsidR="00000000" w:rsidRDefault="00000000">
            <w:pPr>
              <w:snapToGrid w:val="0"/>
              <w:spacing w:before="36" w:after="36"/>
              <w:jc w:val="both"/>
            </w:pPr>
            <w:r>
              <w:rPr>
                <w:rFonts w:ascii="Times New Roman" w:hAnsi="Times New Roman" w:cs="Times New Roman"/>
                <w:b/>
                <w:bCs/>
                <w:sz w:val="15"/>
                <w:szCs w:val="15"/>
                <w:lang w:val="es-PE"/>
              </w:rPr>
              <w:t>TP</w:t>
            </w:r>
          </w:p>
        </w:tc>
        <w:tc>
          <w:tcPr>
            <w:tcW w:w="478" w:type="dxa"/>
            <w:tcBorders>
              <w:bottom w:val="single" w:sz="4" w:space="0" w:color="000000"/>
            </w:tcBorders>
          </w:tcPr>
          <w:p w14:paraId="7316AC4D" w14:textId="77777777" w:rsidR="00000000" w:rsidRDefault="00000000">
            <w:pPr>
              <w:snapToGrid w:val="0"/>
              <w:spacing w:before="36" w:after="36"/>
              <w:jc w:val="both"/>
            </w:pPr>
            <w:r>
              <w:rPr>
                <w:rFonts w:ascii="Times New Roman" w:hAnsi="Times New Roman" w:cs="Times New Roman"/>
                <w:b/>
                <w:bCs/>
                <w:sz w:val="15"/>
                <w:szCs w:val="15"/>
                <w:lang w:val="es-PE"/>
              </w:rPr>
              <w:t>TN</w:t>
            </w:r>
          </w:p>
        </w:tc>
        <w:tc>
          <w:tcPr>
            <w:tcW w:w="853" w:type="dxa"/>
            <w:tcBorders>
              <w:bottom w:val="single" w:sz="4" w:space="0" w:color="000000"/>
            </w:tcBorders>
          </w:tcPr>
          <w:p w14:paraId="47DCFBFC" w14:textId="77777777" w:rsidR="00000000" w:rsidRDefault="00000000">
            <w:pPr>
              <w:snapToGrid w:val="0"/>
              <w:spacing w:before="36" w:after="36"/>
              <w:jc w:val="both"/>
            </w:pPr>
            <w:r>
              <w:rPr>
                <w:rFonts w:ascii="Times New Roman" w:hAnsi="Times New Roman" w:cs="Times New Roman"/>
                <w:b/>
                <w:bCs/>
                <w:sz w:val="15"/>
                <w:szCs w:val="15"/>
                <w:lang w:val="es-PE"/>
              </w:rPr>
              <w:t>FN Cost</w:t>
            </w:r>
          </w:p>
        </w:tc>
        <w:tc>
          <w:tcPr>
            <w:tcW w:w="786" w:type="dxa"/>
            <w:tcBorders>
              <w:bottom w:val="single" w:sz="4" w:space="0" w:color="000000"/>
            </w:tcBorders>
          </w:tcPr>
          <w:p w14:paraId="03BBCFB0" w14:textId="77777777" w:rsidR="00000000" w:rsidRDefault="00000000">
            <w:pPr>
              <w:snapToGrid w:val="0"/>
              <w:spacing w:before="36" w:after="36"/>
              <w:jc w:val="both"/>
            </w:pPr>
            <w:r>
              <w:rPr>
                <w:rFonts w:ascii="Times New Roman" w:hAnsi="Times New Roman" w:cs="Times New Roman"/>
                <w:b/>
                <w:bCs/>
                <w:sz w:val="15"/>
                <w:szCs w:val="15"/>
                <w:lang w:val="es-PE"/>
              </w:rPr>
              <w:t>FP Cost</w:t>
            </w:r>
          </w:p>
        </w:tc>
        <w:tc>
          <w:tcPr>
            <w:tcW w:w="1153" w:type="dxa"/>
            <w:tcBorders>
              <w:bottom w:val="single" w:sz="4" w:space="0" w:color="000000"/>
            </w:tcBorders>
          </w:tcPr>
          <w:p w14:paraId="571B3DF2" w14:textId="77777777" w:rsidR="00000000" w:rsidRDefault="00000000">
            <w:pPr>
              <w:snapToGrid w:val="0"/>
              <w:spacing w:before="36" w:after="36"/>
              <w:jc w:val="both"/>
            </w:pPr>
            <w:r>
              <w:rPr>
                <w:rFonts w:ascii="Times New Roman" w:hAnsi="Times New Roman" w:cs="Times New Roman"/>
                <w:b/>
                <w:bCs/>
                <w:sz w:val="15"/>
                <w:szCs w:val="15"/>
                <w:lang w:val="es-PE"/>
              </w:rPr>
              <w:t>Estimated Loss</w:t>
            </w:r>
          </w:p>
        </w:tc>
        <w:tc>
          <w:tcPr>
            <w:tcW w:w="656" w:type="dxa"/>
            <w:tcBorders>
              <w:bottom w:val="single" w:sz="4" w:space="0" w:color="000000"/>
            </w:tcBorders>
          </w:tcPr>
          <w:p w14:paraId="4B2450CB" w14:textId="77777777" w:rsidR="00000000" w:rsidRDefault="00000000">
            <w:pPr>
              <w:snapToGrid w:val="0"/>
              <w:spacing w:before="36" w:after="36"/>
              <w:jc w:val="both"/>
            </w:pPr>
            <w:r>
              <w:rPr>
                <w:rFonts w:ascii="Times New Roman" w:hAnsi="Times New Roman" w:cs="Times New Roman"/>
                <w:b/>
                <w:bCs/>
                <w:sz w:val="15"/>
                <w:szCs w:val="15"/>
                <w:lang w:val="es-PE"/>
              </w:rPr>
              <w:t>FN:FP</w:t>
            </w:r>
          </w:p>
        </w:tc>
      </w:tr>
      <w:tr w:rsidR="00000000" w14:paraId="78B2ED99" w14:textId="77777777">
        <w:tc>
          <w:tcPr>
            <w:tcW w:w="451" w:type="dxa"/>
          </w:tcPr>
          <w:p w14:paraId="656704C2" w14:textId="77777777" w:rsidR="00000000" w:rsidRDefault="00000000">
            <w:pPr>
              <w:snapToGrid w:val="0"/>
              <w:spacing w:before="36" w:after="36"/>
              <w:jc w:val="both"/>
            </w:pPr>
            <w:r>
              <w:rPr>
                <w:rFonts w:ascii="Times New Roman" w:hAnsi="Times New Roman" w:cs="Times New Roman"/>
                <w:sz w:val="16"/>
                <w:szCs w:val="16"/>
                <w:lang w:val="es-PE"/>
              </w:rPr>
              <w:t>99</w:t>
            </w:r>
          </w:p>
        </w:tc>
        <w:tc>
          <w:tcPr>
            <w:tcW w:w="433" w:type="dxa"/>
          </w:tcPr>
          <w:p w14:paraId="3C2E608A" w14:textId="77777777" w:rsidR="00000000" w:rsidRDefault="00000000">
            <w:pPr>
              <w:snapToGrid w:val="0"/>
              <w:spacing w:before="36" w:after="36"/>
              <w:jc w:val="both"/>
            </w:pPr>
            <w:r>
              <w:rPr>
                <w:rFonts w:ascii="Times New Roman" w:hAnsi="Times New Roman" w:cs="Times New Roman"/>
                <w:sz w:val="16"/>
                <w:szCs w:val="16"/>
                <w:lang w:val="es-PE"/>
              </w:rPr>
              <w:t>66</w:t>
            </w:r>
          </w:p>
        </w:tc>
        <w:tc>
          <w:tcPr>
            <w:tcW w:w="442" w:type="dxa"/>
          </w:tcPr>
          <w:p w14:paraId="5A3A74B5" w14:textId="77777777" w:rsidR="00000000" w:rsidRDefault="00000000">
            <w:pPr>
              <w:snapToGrid w:val="0"/>
              <w:spacing w:before="36" w:after="36"/>
              <w:jc w:val="both"/>
            </w:pPr>
            <w:r>
              <w:rPr>
                <w:rFonts w:ascii="Times New Roman" w:hAnsi="Times New Roman" w:cs="Times New Roman"/>
                <w:sz w:val="16"/>
                <w:szCs w:val="16"/>
                <w:lang w:val="es-PE"/>
              </w:rPr>
              <w:t>73</w:t>
            </w:r>
          </w:p>
        </w:tc>
        <w:tc>
          <w:tcPr>
            <w:tcW w:w="478" w:type="dxa"/>
          </w:tcPr>
          <w:p w14:paraId="0F9C3726" w14:textId="77777777" w:rsidR="00000000" w:rsidRDefault="00000000">
            <w:pPr>
              <w:snapToGrid w:val="0"/>
              <w:spacing w:before="36" w:after="36"/>
              <w:jc w:val="both"/>
            </w:pPr>
            <w:r>
              <w:rPr>
                <w:rFonts w:ascii="Times New Roman" w:hAnsi="Times New Roman" w:cs="Times New Roman"/>
                <w:sz w:val="16"/>
                <w:szCs w:val="16"/>
                <w:lang w:val="es-PE"/>
              </w:rPr>
              <w:t>961</w:t>
            </w:r>
          </w:p>
        </w:tc>
        <w:tc>
          <w:tcPr>
            <w:tcW w:w="853" w:type="dxa"/>
          </w:tcPr>
          <w:p w14:paraId="76FC55CA" w14:textId="77777777" w:rsidR="00000000" w:rsidRDefault="00000000">
            <w:pPr>
              <w:snapToGrid w:val="0"/>
              <w:spacing w:before="36" w:after="36"/>
              <w:jc w:val="both"/>
            </w:pPr>
            <w:r>
              <w:rPr>
                <w:rFonts w:ascii="Times New Roman" w:hAnsi="Times New Roman" w:cs="Times New Roman"/>
                <w:sz w:val="16"/>
                <w:szCs w:val="16"/>
                <w:lang w:val="es-PE"/>
              </w:rPr>
              <w:t>S/ 50,000</w:t>
            </w:r>
          </w:p>
        </w:tc>
        <w:tc>
          <w:tcPr>
            <w:tcW w:w="786" w:type="dxa"/>
          </w:tcPr>
          <w:p w14:paraId="49740DEF" w14:textId="77777777" w:rsidR="00000000" w:rsidRDefault="00000000">
            <w:pPr>
              <w:snapToGrid w:val="0"/>
              <w:spacing w:before="36" w:after="36"/>
              <w:jc w:val="both"/>
            </w:pPr>
            <w:r>
              <w:rPr>
                <w:rFonts w:ascii="Times New Roman" w:hAnsi="Times New Roman" w:cs="Times New Roman"/>
                <w:sz w:val="16"/>
                <w:szCs w:val="16"/>
                <w:lang w:val="es-PE"/>
              </w:rPr>
              <w:t>S/ 5,000</w:t>
            </w:r>
          </w:p>
        </w:tc>
        <w:tc>
          <w:tcPr>
            <w:tcW w:w="1153" w:type="dxa"/>
          </w:tcPr>
          <w:p w14:paraId="044764DE" w14:textId="77777777" w:rsidR="00000000" w:rsidRDefault="00000000">
            <w:pPr>
              <w:snapToGrid w:val="0"/>
              <w:spacing w:before="36" w:after="36"/>
              <w:jc w:val="both"/>
            </w:pPr>
            <w:r>
              <w:rPr>
                <w:rFonts w:ascii="Times New Roman" w:hAnsi="Times New Roman" w:cs="Times New Roman"/>
                <w:sz w:val="16"/>
                <w:szCs w:val="16"/>
                <w:lang w:val="es-PE"/>
              </w:rPr>
              <w:t>S/ 5,280,000</w:t>
            </w:r>
          </w:p>
        </w:tc>
        <w:tc>
          <w:tcPr>
            <w:tcW w:w="656" w:type="dxa"/>
          </w:tcPr>
          <w:p w14:paraId="41F5405C" w14:textId="77777777" w:rsidR="00000000" w:rsidRDefault="00000000">
            <w:pPr>
              <w:snapToGrid w:val="0"/>
              <w:spacing w:before="36" w:after="36"/>
              <w:jc w:val="both"/>
            </w:pPr>
            <w:r>
              <w:rPr>
                <w:rFonts w:ascii="Times New Roman" w:hAnsi="Times New Roman" w:cs="Times New Roman"/>
                <w:sz w:val="16"/>
                <w:szCs w:val="16"/>
                <w:lang w:val="es-PE"/>
              </w:rPr>
              <w:t>10:1</w:t>
            </w:r>
          </w:p>
        </w:tc>
      </w:tr>
    </w:tbl>
    <w:p w14:paraId="0352012B" w14:textId="77777777" w:rsidR="00000000" w:rsidRDefault="00000000">
      <w:pPr>
        <w:pStyle w:val="Notetable"/>
        <w:rPr>
          <w:rFonts w:ascii="Times New Roman" w:hAnsi="Times New Roman"/>
        </w:rPr>
      </w:pPr>
      <w:r>
        <w:t>Note: The reported costs are parametric assumptions (not audited figures). The causal analysis module (DoubleML-IRM) was designed but not executed due to technical limitations.</w:t>
      </w:r>
    </w:p>
    <w:p w14:paraId="7C038863" w14:textId="77777777" w:rsidR="00000000" w:rsidRDefault="00000000">
      <w:pPr>
        <w:snapToGrid w:val="0"/>
        <w:ind w:firstLine="360"/>
        <w:jc w:val="both"/>
        <w:rPr>
          <w:rFonts w:ascii="Times New Roman" w:hAnsi="Times New Roman" w:cs="Times New Roman"/>
          <w:lang w:val="en-US"/>
        </w:rPr>
      </w:pPr>
      <w:r>
        <w:rPr>
          <w:rFonts w:ascii="Times New Roman" w:hAnsi="Times New Roman" w:cs="Times New Roman"/>
          <w:lang w:val="en-US"/>
        </w:rPr>
        <w:t>As a future methodological direction, a causal analysis module based on Double Machine Learning (IRM) was designed; however, it was not executed because of computational environment limitations. Consequently, its results are not part of the present study and are proposed as future work.</w:t>
      </w:r>
    </w:p>
    <w:p w14:paraId="2E943FE5" w14:textId="77777777" w:rsidR="00000000" w:rsidRDefault="00000000">
      <w:pPr>
        <w:snapToGrid w:val="0"/>
        <w:ind w:firstLine="360"/>
        <w:jc w:val="both"/>
        <w:rPr>
          <w:rFonts w:ascii="Times New Roman" w:hAnsi="Times New Roman" w:cs="Times New Roman"/>
          <w:lang w:val="en-US"/>
        </w:rPr>
      </w:pPr>
      <w:r>
        <w:rPr>
          <w:rFonts w:ascii="Times New Roman" w:hAnsi="Times New Roman" w:cs="Times New Roman"/>
          <w:lang w:val="en-US"/>
        </w:rPr>
        <w:t>In this way, the model predictions provide an objective criterion to support the preventive prioritization of operational combinations with a higher proxy risk of prosecutorial congestion, thereby strengthening the operational planning of the Public Prosecutor's Office.</w:t>
      </w:r>
    </w:p>
    <w:p w14:paraId="0863FD66" w14:textId="77777777" w:rsidR="00000000" w:rsidRDefault="00000000">
      <w:pPr>
        <w:snapToGrid w:val="0"/>
        <w:ind w:firstLine="360"/>
        <w:jc w:val="both"/>
      </w:pPr>
      <w:r>
        <w:rPr>
          <w:rFonts w:ascii="Times New Roman" w:hAnsi="Times New Roman" w:cs="Times New Roman"/>
          <w:lang w:val="en-US"/>
        </w:rPr>
        <w:t xml:space="preserve">These findings are consistent with recent studies identifying institutional organization and historical operational patterns as relevant factors for the predictive analysis of judicial systems, although the present work integrates these elements within a single reproducible framework </w:t>
      </w:r>
      <w:r>
        <w:fldChar w:fldCharType="begin"/>
      </w:r>
      <w:r>
        <w:rPr>
          <w:rFonts w:ascii="Times New Roman" w:hAnsi="Times New Roman" w:cs="Times New Roman"/>
          <w:lang w:val="es-PE"/>
        </w:rPr>
        <w:instrText xml:space="preserve"> ADDIN ZOTERO_ITEM CSL_CITATION {"citationID":"DjDGD81i","properties":{"unsorted":false,"formattedCitation":"[1], [2]","plainCitation":"[1], [2]","noteIndex":0},"citationItems":[{"id":51,"uris":["http://zotero.org/users/local/0z44BwR0/items/BFRWF9E5"],"itemData":{"id":51,"type":"article-journal","abstract":"This paper investigates court congestion through a field study conducted at the Jerusalem District Court in Israel, aiming to reduce case processing time by adapting successful operational concepts to this unique environment. Using a modified difference-in-differences approach, the study suggests a notable 46.1% reduction in the duration of the treated part of the judicial process, demonstrating the efficacy of operational management tools in alleviating court congestion without compromising process quality or requiring additional resources.\n          , \n            Court congestion is a worldwide phenomenon with negative societal effects such as delayed access to justice and drawn-out procedures, as well as negative economic ramifications. In this paper, we report on a field study conducted in cooperation with the Jerusalem District Court in Israel with the aim of reducing average case processing time within the existing set of resources. To achieve this goal, we analyzed the judicial process using operational concepts that have been successfully implemented in other contexts, and we adapted them to the court process. We further collected data before and after the operational changes were implemented to assess the efficacy of the implementation. We exploited the distinctive structure of the judicial process and the fact that our operational changes targeted one part of that process to propose a variation of the difference-in-differences approach to measure the process improvement. The results suggest that the duration of the treated part of the process was reduced by 46.1% postimplementation. We further examined the effect of the treatment on the quality of the process, measured by appeal rate, and found no adverse effect. These analyses demonstrate the potential of using operational management tools and concepts to improve judicial processes and to contribute to the alleviation of court congestion.","container-title":"INFORMS Journal on Applied Analytics","DOI":"10.1287/inte.2023.0026","ISSN":"2644-0865, 2644-0873","issue":"3","journalAbbreviation":"INFORMS Journal on Applied Analytics","language":"en","page":"267-281","source":"DOI.org (Crossref)","title":"Alleviating Court Congestion: The Case of the Jerusalem District Court","title-short":"Alleviating Court Congestion","URL":"https://pubsonline.informs.org/doi/10.1287/inte.2023.0026","volume":"54","author":[{"family":"Azaria","given":"Shany"},{"family":"Ronen","given":"Boaz"},{"family":"Shamir","given":"Noam"}],"accessed":{"date-parts":[["2026",7,16]]},"issued":{"date-parts":[["2024",5]]}}},{"id":52,"uris":["http://zotero.org/users/local/0z44BwR0/items/ASLLKMZQ"],"itemData":{"id":52,"type":"article-journal","abstract":"Maintaining the judiciary requires a high level of budgetary expenditure, but the specifics of this relationship have not yet been fully explored. While several studies have examined the impact of spending on the judiciary through measures related to productivity and performance, none have used machine learning techniques. This study examines the productivity of the court system based on expenditures and other variables using machine learning techniques. In the clustering process Brazilian courts are ranked according to their productivity, while in the neural network step it is verified which characteristics are most relevant at the budgetary level related to judicial productivity for each cluster formed in the first step. The final neural network model supports the results of Pearson’s parametric correlation test, which found no significant correlation between expenditure and productivity. The findings from this study demonstrate the importance of understanding that increasing public budget expenditures alone is not sufficient to improve the efficiency of the judicial system. Instead, other administrative measures are necessary to meet the demands of the Brazilian judiciary and improve service delivery rates. These results offer important theoretical and managerial contributions to the field.","container-title":"Mathematics","DOI":"10.3390/math11143195","ISSN":"2227-7390","issue":"14","journalAbbreviation":"Mathematics","language":"en","page":"3195","source":"DOI.org (Crossref)","title":"Analysis of Judiciary Expenditure and Productivity Using Machine Learning Techniques","URL":"https://www.mdpi.com/2227-7390/11/14/3195","volume":"11","author":[{"family":"Vasconcelos","given":"Fernando Freire"},{"family":"Sátiro","given":"Renato Máximo"},{"family":"Fávero","given":"Luiz Paulo Lopes"},{"family":"Bortoloto","given":"Gabriela Troyano"},{"family":"Corrêa","given":"Hamilton Luiz"}],"accessed":{"date-parts":[["2026",7,16]]},"issued":{"date-parts":[["2023",7,21]]}}}],"schema":"https://github.com/citation-style-language/schema/raw/master/csl-citation.json"} </w:instrText>
      </w:r>
      <w:r>
        <w:fldChar w:fldCharType="separate"/>
      </w:r>
      <w:r>
        <w:rPr>
          <w:rFonts w:ascii="Times New Roman" w:hAnsi="Times New Roman" w:cs="Times New Roman"/>
          <w:lang w:val="es-PE"/>
        </w:rPr>
        <w:t>[1], [2]</w:t>
      </w:r>
      <w:r>
        <w:rPr>
          <w:rFonts w:ascii="Times New Roman" w:hAnsi="Times New Roman" w:cs="Times New Roman"/>
          <w:lang w:val="es-PE"/>
        </w:rPr>
        <w:fldChar w:fldCharType="end"/>
      </w:r>
      <w:r>
        <w:rPr>
          <w:rFonts w:ascii="Times New Roman" w:hAnsi="Times New Roman" w:cs="Times New Roman"/>
          <w:lang w:val="es-PE"/>
        </w:rPr>
        <w:t>.</w:t>
      </w:r>
    </w:p>
    <w:p w14:paraId="7EFCF749" w14:textId="77777777" w:rsidR="00000000" w:rsidRDefault="00000000">
      <w:pPr>
        <w:pStyle w:val="Ttulo2"/>
      </w:pPr>
      <w:r>
        <w:t>C. Discussion of Underlying Mechanisms</w:t>
      </w:r>
    </w:p>
    <w:p w14:paraId="49A7A56D" w14:textId="77777777" w:rsidR="00000000" w:rsidRDefault="00000000">
      <w:pPr>
        <w:snapToGrid w:val="0"/>
        <w:ind w:firstLine="360"/>
        <w:jc w:val="both"/>
        <w:rPr>
          <w:lang w:val="en-US"/>
        </w:rPr>
      </w:pPr>
      <w:r>
        <w:rPr>
          <w:lang w:val="en-US"/>
        </w:rPr>
        <w:t xml:space="preserve">The dominance of territorial features over historical features is consistent with the nature of the target. Because it is defined using percentiles of case backlog and case processing rate, it captures structural operational overload associated with the installed capacity of each Prosecutorial </w:t>
      </w:r>
      <w:r>
        <w:rPr>
          <w:lang w:val="en-US"/>
        </w:rPr>
        <w:lastRenderedPageBreak/>
        <w:t>District—reflecting heterogeneity across organizational units—rather than their internal temporal dynamics. This explains why the ablation study penalizes the removal of territorial interaction features more severely than the removal of historical trend features.</w:t>
      </w:r>
    </w:p>
    <w:p w14:paraId="3F8234D1" w14:textId="77777777" w:rsidR="00000000" w:rsidRDefault="00000000">
      <w:pPr>
        <w:snapToGrid w:val="0"/>
        <w:ind w:firstLine="360"/>
        <w:jc w:val="both"/>
        <w:rPr>
          <w:lang w:val="en-US"/>
        </w:rPr>
      </w:pPr>
      <w:r>
        <w:rPr>
          <w:lang w:val="en-US"/>
        </w:rPr>
        <w:t>The stability of LightGBM relative to CatBoost is consistent with the latter's ordered categorical encoding, which is more sensitive to shifts in category frequencies across years (PSI, Section III.D.4). Furthermore, DeLong's test compares probabilistic ranking performance (ROC-AUC) rather than the threshold-dependent F1-score; therefore, CatBoost's advantage in 2025 reflects a characteristic of that particular temporal partition rather than a systematic superiority.</w:t>
      </w:r>
    </w:p>
    <w:p w14:paraId="01311730" w14:textId="77777777" w:rsidR="00000000" w:rsidRDefault="00000000">
      <w:pPr>
        <w:snapToGrid w:val="0"/>
        <w:ind w:firstLine="360"/>
        <w:jc w:val="both"/>
        <w:rPr>
          <w:lang w:val="en-US"/>
        </w:rPr>
      </w:pPr>
      <w:r>
        <w:rPr>
          <w:lang w:val="en-US"/>
        </w:rPr>
        <w:t>The limited contribution of the stacking model is explained by the high correlation among the base models—four of which are gradient boosting variants—which reduces the diversity required for a meta-model to provide additional predictive value.</w:t>
      </w:r>
    </w:p>
    <w:p w14:paraId="53533712" w14:textId="77777777" w:rsidR="00000000" w:rsidRDefault="00000000">
      <w:pPr>
        <w:snapToGrid w:val="0"/>
        <w:ind w:firstLine="360"/>
        <w:jc w:val="both"/>
      </w:pPr>
      <w:r>
        <w:rPr>
          <w:lang w:val="en-US"/>
        </w:rPr>
        <w:t>Finally, the performance of the SVM (F1 = 0.268) confirms the findings of the unsupervised validation (Section III.C): the decision boundary is not linearly separable in the feature space, thereby disadvantaging a linear-margin classifier compared with models capable of capturing nonlinear interactions.</w:t>
      </w:r>
    </w:p>
    <w:p w14:paraId="3A7494F1" w14:textId="77777777" w:rsidR="00000000" w:rsidRDefault="00000000">
      <w:pPr>
        <w:pStyle w:val="Ttulo1"/>
      </w:pPr>
      <w:r>
        <w:t>VI. Limitations</w:t>
      </w:r>
    </w:p>
    <w:p w14:paraId="2582B9F8" w14:textId="77777777" w:rsidR="00000000" w:rsidRDefault="00000000">
      <w:pPr>
        <w:snapToGrid w:val="0"/>
        <w:ind w:firstLine="360"/>
        <w:jc w:val="both"/>
        <w:rPr>
          <w:rFonts w:ascii="Times New Roman" w:hAnsi="Times New Roman" w:cs="Times New Roman"/>
          <w:lang w:val="en-US"/>
        </w:rPr>
      </w:pPr>
      <w:r>
        <w:rPr>
          <w:rFonts w:ascii="Times New Roman" w:hAnsi="Times New Roman" w:cs="Times New Roman"/>
          <w:lang w:val="en-US"/>
        </w:rPr>
        <w:t>The target variable corresponds to a proxy risk of prosecutorial congestion constructed using percentile-based rules and does not constitute an official measure of the Public Prosecutor's Office – Office of the Attorney General of Peru (MPFN). Although its definition was subjected to sensitivity analysis, it remains without validation through external expert judgment. The unit of analysis consists of aggregated combinations of operational variables rather than individual cases; therefore, the predictions should be interpreted as support for operational prioritization rather than for the evaluation of specific cases.</w:t>
      </w:r>
    </w:p>
    <w:p w14:paraId="23251F76" w14:textId="77777777" w:rsidR="00000000" w:rsidRDefault="00000000">
      <w:pPr>
        <w:snapToGrid w:val="0"/>
        <w:ind w:firstLine="360"/>
        <w:jc w:val="both"/>
        <w:rPr>
          <w:rFonts w:ascii="Times New Roman" w:hAnsi="Times New Roman" w:cs="Times New Roman"/>
          <w:lang w:val="en-US"/>
        </w:rPr>
      </w:pPr>
      <w:r>
        <w:rPr>
          <w:rFonts w:ascii="Times New Roman" w:hAnsi="Times New Roman" w:cs="Times New Roman"/>
          <w:lang w:val="en-US"/>
        </w:rPr>
        <w:t>The results were obtained exclusively from data provided by the Public Prosecutor's Office of Peru (2019–2026). Although the framework is reproducible, its application to other judicial systems requires retraining and recalibration.</w:t>
      </w:r>
    </w:p>
    <w:p w14:paraId="6234A677" w14:textId="77777777" w:rsidR="00000000" w:rsidRDefault="00000000">
      <w:pPr>
        <w:snapToGrid w:val="0"/>
        <w:ind w:firstLine="360"/>
        <w:jc w:val="both"/>
        <w:rPr>
          <w:rFonts w:ascii="Times New Roman" w:hAnsi="Times New Roman" w:cs="Times New Roman"/>
          <w:lang w:val="en-US"/>
        </w:rPr>
      </w:pPr>
      <w:r>
        <w:rPr>
          <w:rFonts w:ascii="Times New Roman" w:hAnsi="Times New Roman" w:cs="Times New Roman"/>
          <w:lang w:val="en-US"/>
        </w:rPr>
        <w:t>The selection of the final model prioritized stability during temporal validation, even though CatBoost achieved better performance on the 2025 test set, indicating that the relative ranking of models may vary across consecutive time periods. The economic impact analysis employs parametric cost assumptions for illustrative purposes only and does not represent official estimates of the MPFN.</w:t>
      </w:r>
    </w:p>
    <w:p w14:paraId="18E310B4" w14:textId="77777777" w:rsidR="00000000" w:rsidRDefault="00000000">
      <w:pPr>
        <w:snapToGrid w:val="0"/>
        <w:ind w:firstLine="360"/>
        <w:jc w:val="both"/>
        <w:rPr>
          <w:rFonts w:ascii="Times New Roman" w:hAnsi="Times New Roman" w:cs="Times New Roman"/>
          <w:lang w:val="en-US"/>
        </w:rPr>
      </w:pPr>
      <w:r>
        <w:rPr>
          <w:rFonts w:ascii="Times New Roman" w:hAnsi="Times New Roman" w:cs="Times New Roman"/>
          <w:lang w:val="en-US"/>
        </w:rPr>
        <w:t>The Double Machine Learning module was designed as a methodological extension but was not executed because of computational environment limitations; consequently, the identified relationships correspond exclusively to predictive associations and should not be interpreted as causal evidence.</w:t>
      </w:r>
    </w:p>
    <w:p w14:paraId="5A048B54" w14:textId="77777777" w:rsidR="00000000" w:rsidRDefault="00000000">
      <w:pPr>
        <w:snapToGrid w:val="0"/>
        <w:ind w:firstLine="360"/>
        <w:jc w:val="both"/>
        <w:rPr>
          <w:rFonts w:ascii="Times New Roman" w:hAnsi="Times New Roman" w:cs="Times New Roman"/>
          <w:lang w:val="en-US"/>
        </w:rPr>
      </w:pPr>
      <w:r>
        <w:rPr>
          <w:rFonts w:ascii="Times New Roman" w:hAnsi="Times New Roman" w:cs="Times New Roman"/>
          <w:lang w:val="en-US"/>
        </w:rPr>
        <w:t xml:space="preserve">Finally, the limited number of positive observations and the small sample size of certain subgroups restrict the precision of the fairness analyses and increase variability </w:t>
      </w:r>
      <w:r>
        <w:rPr>
          <w:rFonts w:ascii="Times New Roman" w:hAnsi="Times New Roman" w:cs="Times New Roman"/>
          <w:lang w:val="en-US"/>
        </w:rPr>
        <w:t>across temporal partitions. Therefore, these results should be interpreted as exploratory evidence.</w:t>
      </w:r>
    </w:p>
    <w:p w14:paraId="7B61E95B" w14:textId="77777777" w:rsidR="00000000" w:rsidRDefault="00000000">
      <w:pPr>
        <w:snapToGrid w:val="0"/>
        <w:ind w:firstLine="360"/>
        <w:jc w:val="both"/>
        <w:rPr>
          <w:rFonts w:ascii="Times New Roman" w:hAnsi="Times New Roman" w:cs="Times New Roman"/>
          <w:lang w:val="en-US"/>
        </w:rPr>
      </w:pPr>
    </w:p>
    <w:p w14:paraId="76425213" w14:textId="77777777" w:rsidR="00000000" w:rsidRDefault="00000000">
      <w:pPr>
        <w:pStyle w:val="Ttulo1"/>
      </w:pPr>
      <w:r>
        <w:t>VII. Conclusions</w:t>
      </w:r>
    </w:p>
    <w:p w14:paraId="69539338" w14:textId="77777777" w:rsidR="00000000" w:rsidRDefault="00000000">
      <w:pPr>
        <w:snapToGrid w:val="0"/>
        <w:ind w:firstLine="360"/>
        <w:jc w:val="both"/>
        <w:rPr>
          <w:rFonts w:ascii="Times New Roman" w:hAnsi="Times New Roman" w:cs="Times New Roman"/>
          <w:lang w:val="en-US"/>
        </w:rPr>
      </w:pPr>
      <w:r>
        <w:rPr>
          <w:rFonts w:ascii="Times New Roman" w:hAnsi="Times New Roman" w:cs="Times New Roman"/>
          <w:lang w:val="en-US"/>
        </w:rPr>
        <w:t>This study developed and validated a machine learning framework to estimate the proxy risk of prosecutorial congestion in the Public Prosecutor's Office of Peru, integrating consensus-based feature selection, multicollinearity auditing, temporal validation, and model interpretability within a reproducible methodological workflow. The results demonstrated stable performance on data not used during training and confirmed the feasibility of the proposed approach for supporting the early identification of scenarios with higher operational risk.</w:t>
      </w:r>
    </w:p>
    <w:p w14:paraId="4643AFF9" w14:textId="77777777" w:rsidR="00000000" w:rsidRDefault="00000000">
      <w:pPr>
        <w:snapToGrid w:val="0"/>
        <w:ind w:firstLine="360"/>
        <w:jc w:val="both"/>
        <w:rPr>
          <w:rFonts w:ascii="Times New Roman" w:hAnsi="Times New Roman" w:cs="Times New Roman"/>
          <w:lang w:val="en-US"/>
        </w:rPr>
      </w:pPr>
      <w:r>
        <w:rPr>
          <w:rFonts w:ascii="Times New Roman" w:hAnsi="Times New Roman" w:cs="Times New Roman"/>
          <w:lang w:val="en-US"/>
        </w:rPr>
        <w:t>The analysis showed that the predictive capability of the model depends primarily on territorial and institutional patterns, whereas historical features provide complementary information. The consistency between the ablation study and the SHAP analysis supports this finding and demonstrates that the model captures relevant operational configurations to support the preventive prioritization of operational combinations with higher estimated proxy risk. Furthermore, the operational impact analysis demonstrated the potential of the proposed approach to support planning decisions and the preventive allocation of resources without replacing the judgment of Public Prosecutor's Office practitioners.</w:t>
      </w:r>
    </w:p>
    <w:p w14:paraId="2DC2BB20" w14:textId="77777777" w:rsidR="00000000" w:rsidRDefault="00000000">
      <w:pPr>
        <w:snapToGrid w:val="0"/>
        <w:ind w:firstLine="360"/>
        <w:jc w:val="both"/>
        <w:rPr>
          <w:rFonts w:ascii="Times New Roman" w:hAnsi="Times New Roman" w:cs="Times New Roman"/>
          <w:lang w:val="en-US"/>
        </w:rPr>
      </w:pPr>
      <w:r>
        <w:rPr>
          <w:rFonts w:ascii="Times New Roman" w:hAnsi="Times New Roman" w:cs="Times New Roman"/>
          <w:lang w:val="en-US"/>
        </w:rPr>
        <w:t>From a methodological perspective, the main contribution of this work is the integration, within a single framework, of robust feature selection, temporal validation designed to prevent data leakage, robustness assessment, and model interpretability. This integration helps address a gap identified in the literature on predictive analytics applied to the prosecutorial domain, where these components are typically investigated in isolation.</w:t>
      </w:r>
    </w:p>
    <w:p w14:paraId="22918209" w14:textId="77777777" w:rsidR="00000000" w:rsidRDefault="00000000">
      <w:pPr>
        <w:snapToGrid w:val="0"/>
        <w:ind w:firstLine="360"/>
        <w:jc w:val="both"/>
      </w:pPr>
      <w:r>
        <w:rPr>
          <w:rFonts w:ascii="Times New Roman" w:hAnsi="Times New Roman" w:cs="Times New Roman"/>
          <w:lang w:val="en-US"/>
        </w:rPr>
        <w:t>Future research will focus on validating the definition of the proxy risk through expert judgment, executing the causal analysis module based on Double Machine Learning, comparing the operational impact analysis with official institutional data, extending the temporal training window as new data become available, and evaluating the transferability of the framework to other justice systems through retraining and local validation.</w:t>
      </w:r>
    </w:p>
    <w:p w14:paraId="43364AB7" w14:textId="77777777" w:rsidR="00000000" w:rsidRDefault="00000000">
      <w:pPr>
        <w:pStyle w:val="Ttulo1"/>
      </w:pPr>
      <w:r>
        <w:t>References</w:t>
      </w:r>
    </w:p>
    <w:p w14:paraId="14DD3835" w14:textId="77777777" w:rsidR="00000000" w:rsidRDefault="00000000">
      <w:pPr>
        <w:pStyle w:val="Bibliografa"/>
        <w:spacing w:after="60"/>
        <w:ind w:hanging="505"/>
        <w:rPr>
          <w:sz w:val="16"/>
          <w:szCs w:val="16"/>
        </w:rPr>
      </w:pPr>
      <w:r>
        <w:fldChar w:fldCharType="begin"/>
      </w:r>
      <w:r>
        <w:rPr>
          <w:sz w:val="16"/>
          <w:szCs w:val="16"/>
        </w:rPr>
        <w:instrText xml:space="preserve"> ADDIN ZOTERO_BIBL {"uncited":[],"omitted":[],"custom":[]} CSL_BIBLIOGRAPHY </w:instrText>
      </w:r>
      <w:r>
        <w:fldChar w:fldCharType="separate"/>
      </w:r>
      <w:r>
        <w:rPr>
          <w:sz w:val="16"/>
          <w:szCs w:val="16"/>
        </w:rPr>
        <w:t>[1]</w:t>
      </w:r>
      <w:r>
        <w:rPr>
          <w:sz w:val="16"/>
          <w:szCs w:val="16"/>
        </w:rPr>
        <w:tab/>
        <w:t xml:space="preserve">S. Azaria, B. Ronen, and N. Shamir, “Alleviating Court Congestion: The Case of the Jerusalem District Court,” </w:t>
      </w:r>
      <w:r>
        <w:rPr>
          <w:i/>
          <w:iCs/>
          <w:sz w:val="16"/>
          <w:szCs w:val="16"/>
        </w:rPr>
        <w:t>Inf. J. Appl. Anal.</w:t>
      </w:r>
      <w:r>
        <w:rPr>
          <w:sz w:val="16"/>
          <w:szCs w:val="16"/>
        </w:rPr>
        <w:t>, vol. 54, no. 3, pp. 267–281, May 2024, doi: 10.1287/inte.2023.0026.</w:t>
      </w:r>
    </w:p>
    <w:p w14:paraId="05C2080C" w14:textId="77777777" w:rsidR="00000000" w:rsidRDefault="00000000">
      <w:pPr>
        <w:pStyle w:val="Bibliografa"/>
        <w:spacing w:after="60"/>
        <w:ind w:hanging="505"/>
        <w:rPr>
          <w:sz w:val="16"/>
          <w:szCs w:val="16"/>
        </w:rPr>
      </w:pPr>
      <w:r>
        <w:rPr>
          <w:sz w:val="16"/>
          <w:szCs w:val="16"/>
        </w:rPr>
        <w:t>[2]</w:t>
      </w:r>
      <w:r>
        <w:rPr>
          <w:sz w:val="16"/>
          <w:szCs w:val="16"/>
        </w:rPr>
        <w:tab/>
        <w:t xml:space="preserve">F. F. Vasconcelos, R. M. Sátiro, L. P. L. Fávero, G. T. Bortoloto, and H. L. Corrêa, “Analysis of Judiciary Expenditure and Productivity Using Machine Learning Techniques,” </w:t>
      </w:r>
      <w:r>
        <w:rPr>
          <w:i/>
          <w:iCs/>
          <w:sz w:val="16"/>
          <w:szCs w:val="16"/>
        </w:rPr>
        <w:t>Mathematics</w:t>
      </w:r>
      <w:r>
        <w:rPr>
          <w:sz w:val="16"/>
          <w:szCs w:val="16"/>
        </w:rPr>
        <w:t>, vol. 11, no. 14, p. 3195, Jul. 2023, doi: 10.3390/math11143195.</w:t>
      </w:r>
    </w:p>
    <w:p w14:paraId="7FBB7013" w14:textId="77777777" w:rsidR="00000000" w:rsidRDefault="00000000">
      <w:pPr>
        <w:pStyle w:val="Bibliografa"/>
        <w:spacing w:after="60"/>
        <w:ind w:hanging="505"/>
        <w:rPr>
          <w:sz w:val="16"/>
          <w:szCs w:val="16"/>
        </w:rPr>
      </w:pPr>
      <w:r>
        <w:rPr>
          <w:sz w:val="16"/>
          <w:szCs w:val="16"/>
        </w:rPr>
        <w:t>[3]</w:t>
      </w:r>
      <w:r>
        <w:rPr>
          <w:sz w:val="16"/>
          <w:szCs w:val="16"/>
        </w:rPr>
        <w:tab/>
        <w:t xml:space="preserve">B. Pernici, C. A. Bono, L. Piro, M. Del Treste, and G. Vecchi, “Improving the analysis of the judiciary performance - the use of data mining techniques to assess the timeliness of civil trials,” </w:t>
      </w:r>
      <w:r>
        <w:rPr>
          <w:i/>
          <w:iCs/>
          <w:sz w:val="16"/>
          <w:szCs w:val="16"/>
        </w:rPr>
        <w:t>Int. J. Public Sect. Manag.</w:t>
      </w:r>
      <w:r>
        <w:rPr>
          <w:sz w:val="16"/>
          <w:szCs w:val="16"/>
        </w:rPr>
        <w:t>, vol. 37, no. 1, pp. 59–76, Jan. 2024, doi: 10.1108/IJPSM-02-2023-0058.</w:t>
      </w:r>
    </w:p>
    <w:p w14:paraId="54C78030" w14:textId="77777777" w:rsidR="00000000" w:rsidRDefault="00000000">
      <w:pPr>
        <w:pStyle w:val="Bibliografa"/>
        <w:spacing w:after="60"/>
        <w:ind w:hanging="505"/>
        <w:rPr>
          <w:sz w:val="16"/>
          <w:szCs w:val="16"/>
        </w:rPr>
      </w:pPr>
      <w:r>
        <w:rPr>
          <w:sz w:val="16"/>
          <w:szCs w:val="16"/>
        </w:rPr>
        <w:t>[4]</w:t>
      </w:r>
      <w:r>
        <w:rPr>
          <w:sz w:val="16"/>
          <w:szCs w:val="16"/>
        </w:rPr>
        <w:tab/>
        <w:t xml:space="preserve">A.-H. Alhalalmeh and A. Al-Tarawneh, “Artificial Intelligence and the Law: The Complexities of Technology and Legalities,” in </w:t>
      </w:r>
      <w:r>
        <w:rPr>
          <w:i/>
          <w:iCs/>
          <w:sz w:val="16"/>
          <w:szCs w:val="16"/>
        </w:rPr>
        <w:t>Intelligence-Driven Circular Economy</w:t>
      </w:r>
      <w:r>
        <w:rPr>
          <w:sz w:val="16"/>
          <w:szCs w:val="16"/>
        </w:rPr>
        <w:t xml:space="preserve">, vol. 1174, A. Hannoon and A. </w:t>
      </w:r>
      <w:r>
        <w:rPr>
          <w:sz w:val="16"/>
          <w:szCs w:val="16"/>
        </w:rPr>
        <w:lastRenderedPageBreak/>
        <w:t>Mahmood, Eds., in Studies in Computational Intelligence, vol. 1174. , Cham: Springer Nature Switzerland, 2025, pp. 641–649. doi: 10.1007/978-3-031-74220-0_50.</w:t>
      </w:r>
    </w:p>
    <w:p w14:paraId="048D91E0" w14:textId="77777777" w:rsidR="00000000" w:rsidRDefault="00000000">
      <w:pPr>
        <w:pStyle w:val="Bibliografa"/>
        <w:spacing w:after="60"/>
        <w:ind w:hanging="505"/>
        <w:rPr>
          <w:sz w:val="16"/>
          <w:szCs w:val="16"/>
        </w:rPr>
      </w:pPr>
      <w:r>
        <w:rPr>
          <w:sz w:val="16"/>
          <w:szCs w:val="16"/>
        </w:rPr>
        <w:t>[5]</w:t>
      </w:r>
      <w:r>
        <w:rPr>
          <w:sz w:val="16"/>
          <w:szCs w:val="16"/>
        </w:rPr>
        <w:tab/>
        <w:t xml:space="preserve">X. Zhou, W. Yuan, Q. Gao, and C. Yang, “An efficient ensemble learning method based on multi-objective feature selection,” </w:t>
      </w:r>
      <w:r>
        <w:rPr>
          <w:i/>
          <w:iCs/>
          <w:sz w:val="16"/>
          <w:szCs w:val="16"/>
        </w:rPr>
        <w:t>Inf. Sci.</w:t>
      </w:r>
      <w:r>
        <w:rPr>
          <w:sz w:val="16"/>
          <w:szCs w:val="16"/>
        </w:rPr>
        <w:t>, vol. 679, p. 121084, Sep. 2024, doi: 10.1016/j.ins.2024.121084.</w:t>
      </w:r>
    </w:p>
    <w:p w14:paraId="4621E916" w14:textId="77777777" w:rsidR="00000000" w:rsidRDefault="00000000">
      <w:pPr>
        <w:pStyle w:val="Bibliografa"/>
        <w:spacing w:after="60"/>
        <w:ind w:hanging="505"/>
        <w:rPr>
          <w:sz w:val="16"/>
          <w:szCs w:val="16"/>
        </w:rPr>
      </w:pPr>
      <w:r>
        <w:rPr>
          <w:sz w:val="16"/>
          <w:szCs w:val="16"/>
        </w:rPr>
        <w:t>[6]</w:t>
      </w:r>
      <w:r>
        <w:rPr>
          <w:sz w:val="16"/>
          <w:szCs w:val="16"/>
        </w:rPr>
        <w:tab/>
        <w:t xml:space="preserve">A. Moslemi, “A tutorial-based survey on feature selection: Recent advancements on feature selection,” </w:t>
      </w:r>
      <w:r>
        <w:rPr>
          <w:i/>
          <w:iCs/>
          <w:sz w:val="16"/>
          <w:szCs w:val="16"/>
        </w:rPr>
        <w:t>Eng. Appl. Artif. Intell.</w:t>
      </w:r>
      <w:r>
        <w:rPr>
          <w:sz w:val="16"/>
          <w:szCs w:val="16"/>
        </w:rPr>
        <w:t>, vol. 126, p. 107136, Nov. 2023, doi: 10.1016/j.engappai.2023.107136.</w:t>
      </w:r>
    </w:p>
    <w:p w14:paraId="1DF7B900" w14:textId="77777777" w:rsidR="00000000" w:rsidRDefault="00000000">
      <w:pPr>
        <w:pStyle w:val="Bibliografa"/>
        <w:spacing w:after="60"/>
        <w:ind w:hanging="505"/>
        <w:rPr>
          <w:sz w:val="16"/>
          <w:szCs w:val="16"/>
        </w:rPr>
      </w:pPr>
      <w:r>
        <w:rPr>
          <w:sz w:val="16"/>
          <w:szCs w:val="16"/>
        </w:rPr>
        <w:t>[7]</w:t>
      </w:r>
      <w:r>
        <w:rPr>
          <w:sz w:val="16"/>
          <w:szCs w:val="16"/>
        </w:rPr>
        <w:tab/>
        <w:t xml:space="preserve">M. B. Kursa and W. R. Rudnicki, “Feature Selection with theBorutaPackage,” </w:t>
      </w:r>
      <w:r>
        <w:rPr>
          <w:i/>
          <w:iCs/>
          <w:sz w:val="16"/>
          <w:szCs w:val="16"/>
        </w:rPr>
        <w:t>J. Stat. Softw.</w:t>
      </w:r>
      <w:r>
        <w:rPr>
          <w:sz w:val="16"/>
          <w:szCs w:val="16"/>
        </w:rPr>
        <w:t>, vol. 36, no. 11, Jan. 2010, doi: 10.18637/jss.v036.i11.</w:t>
      </w:r>
    </w:p>
    <w:p w14:paraId="4380FDD5" w14:textId="77777777" w:rsidR="00000000" w:rsidRDefault="00000000">
      <w:pPr>
        <w:pStyle w:val="Bibliografa"/>
        <w:spacing w:after="60"/>
        <w:ind w:hanging="505"/>
        <w:rPr>
          <w:sz w:val="16"/>
          <w:szCs w:val="16"/>
        </w:rPr>
      </w:pPr>
      <w:r>
        <w:rPr>
          <w:sz w:val="16"/>
          <w:szCs w:val="16"/>
        </w:rPr>
        <w:t>[8]</w:t>
      </w:r>
      <w:r>
        <w:rPr>
          <w:sz w:val="16"/>
          <w:szCs w:val="16"/>
        </w:rPr>
        <w:tab/>
        <w:t xml:space="preserve">N. V. Chawla, K. W. Bowyer, L. O. Hall, and W. P. Kegelmeyer, “SMOTE: Synthetic Minority Over-sampling technique,” </w:t>
      </w:r>
      <w:r>
        <w:rPr>
          <w:i/>
          <w:iCs/>
          <w:sz w:val="16"/>
          <w:szCs w:val="16"/>
        </w:rPr>
        <w:t>J. Artif. Intell. Res.</w:t>
      </w:r>
      <w:r>
        <w:rPr>
          <w:sz w:val="16"/>
          <w:szCs w:val="16"/>
        </w:rPr>
        <w:t>, vol. 16, pp. 321–357, Jun. 2002, doi: 10.1613/jair.953.</w:t>
      </w:r>
    </w:p>
    <w:p w14:paraId="46969D22" w14:textId="77777777" w:rsidR="00000000" w:rsidRDefault="00000000">
      <w:pPr>
        <w:pStyle w:val="Bibliografa"/>
        <w:spacing w:after="60"/>
        <w:ind w:hanging="505"/>
        <w:rPr>
          <w:sz w:val="16"/>
          <w:szCs w:val="16"/>
        </w:rPr>
      </w:pPr>
      <w:r>
        <w:rPr>
          <w:sz w:val="16"/>
          <w:szCs w:val="16"/>
        </w:rPr>
        <w:t>[9]</w:t>
      </w:r>
      <w:r>
        <w:rPr>
          <w:sz w:val="16"/>
          <w:szCs w:val="16"/>
        </w:rPr>
        <w:tab/>
        <w:t xml:space="preserve">S. Kapoor and A. Narayanan, “Leakage and the reproducibility crisis in machine-learning-based science,” </w:t>
      </w:r>
      <w:r>
        <w:rPr>
          <w:i/>
          <w:iCs/>
          <w:sz w:val="16"/>
          <w:szCs w:val="16"/>
        </w:rPr>
        <w:t>Patterns</w:t>
      </w:r>
      <w:r>
        <w:rPr>
          <w:sz w:val="16"/>
          <w:szCs w:val="16"/>
        </w:rPr>
        <w:t>, vol. 4, no. 9, p. 100804, Aug. 2023, doi: 10.1016/j.patter.2023.100804.</w:t>
      </w:r>
    </w:p>
    <w:p w14:paraId="1B170981" w14:textId="77777777" w:rsidR="00000000" w:rsidRDefault="00000000">
      <w:pPr>
        <w:pStyle w:val="Bibliografa"/>
        <w:spacing w:after="60"/>
        <w:ind w:hanging="505"/>
        <w:rPr>
          <w:sz w:val="16"/>
          <w:szCs w:val="16"/>
        </w:rPr>
      </w:pPr>
      <w:r>
        <w:rPr>
          <w:sz w:val="16"/>
          <w:szCs w:val="16"/>
        </w:rPr>
        <w:t>[10]</w:t>
      </w:r>
      <w:r>
        <w:rPr>
          <w:sz w:val="16"/>
          <w:szCs w:val="16"/>
        </w:rPr>
        <w:tab/>
        <w:t xml:space="preserve">L. Sasse </w:t>
      </w:r>
      <w:r>
        <w:rPr>
          <w:i/>
          <w:iCs/>
          <w:sz w:val="16"/>
          <w:szCs w:val="16"/>
        </w:rPr>
        <w:t>et al.</w:t>
      </w:r>
      <w:r>
        <w:rPr>
          <w:sz w:val="16"/>
          <w:szCs w:val="16"/>
        </w:rPr>
        <w:t xml:space="preserve">, “On Leakage in Machine Learning Pipelines,” 2023, </w:t>
      </w:r>
      <w:r>
        <w:rPr>
          <w:i/>
          <w:iCs/>
          <w:sz w:val="16"/>
          <w:szCs w:val="16"/>
        </w:rPr>
        <w:t>arXiv</w:t>
      </w:r>
      <w:r>
        <w:rPr>
          <w:sz w:val="16"/>
          <w:szCs w:val="16"/>
        </w:rPr>
        <w:t>. doi: 10.48550/ARXIV.2311.04179.</w:t>
      </w:r>
    </w:p>
    <w:p w14:paraId="5DD45FC5" w14:textId="77777777" w:rsidR="00000000" w:rsidRDefault="00000000">
      <w:pPr>
        <w:pStyle w:val="Bibliografa"/>
        <w:spacing w:after="60"/>
        <w:ind w:hanging="505"/>
        <w:rPr>
          <w:sz w:val="16"/>
          <w:szCs w:val="16"/>
        </w:rPr>
      </w:pPr>
      <w:r>
        <w:rPr>
          <w:sz w:val="16"/>
          <w:szCs w:val="16"/>
        </w:rPr>
        <w:t>[11]</w:t>
      </w:r>
      <w:r>
        <w:rPr>
          <w:sz w:val="16"/>
          <w:szCs w:val="16"/>
        </w:rPr>
        <w:tab/>
        <w:t xml:space="preserve">S. Hamdan, S. More, L. Sasse, V. Komeyer, K. R. Patil, and F. Raimondo, “Julearn: an easy-to-use library for leakage-free evaluation and inspection of ML models,” 2023, </w:t>
      </w:r>
      <w:r>
        <w:rPr>
          <w:i/>
          <w:iCs/>
          <w:sz w:val="16"/>
          <w:szCs w:val="16"/>
        </w:rPr>
        <w:t>arXiv</w:t>
      </w:r>
      <w:r>
        <w:rPr>
          <w:sz w:val="16"/>
          <w:szCs w:val="16"/>
        </w:rPr>
        <w:t>. doi: 10.48550/ARXIV.2310.12568.</w:t>
      </w:r>
    </w:p>
    <w:p w14:paraId="376AF477" w14:textId="77777777" w:rsidR="00000000" w:rsidRDefault="00000000">
      <w:pPr>
        <w:pStyle w:val="Bibliografa"/>
        <w:spacing w:after="60"/>
        <w:ind w:hanging="505"/>
        <w:rPr>
          <w:sz w:val="16"/>
          <w:szCs w:val="16"/>
        </w:rPr>
      </w:pPr>
      <w:r>
        <w:rPr>
          <w:sz w:val="16"/>
          <w:szCs w:val="16"/>
        </w:rPr>
        <w:t>[12]</w:t>
      </w:r>
      <w:r>
        <w:rPr>
          <w:sz w:val="16"/>
          <w:szCs w:val="16"/>
        </w:rPr>
        <w:tab/>
        <w:t xml:space="preserve">K. M. Richmond, S. M. Muddamsetty, T. Gammeltoft-Hansen, H. P. Olsen, and T. B. Moeslund, “Explainable AI and Law: An Evidential Survey,” </w:t>
      </w:r>
      <w:r>
        <w:rPr>
          <w:i/>
          <w:iCs/>
          <w:sz w:val="16"/>
          <w:szCs w:val="16"/>
        </w:rPr>
        <w:t>Digit. Soc.</w:t>
      </w:r>
      <w:r>
        <w:rPr>
          <w:sz w:val="16"/>
          <w:szCs w:val="16"/>
        </w:rPr>
        <w:t>, vol. 3, no. 1, p. 1, May 2024, doi: 10.1007/s44206-023-00081-z.</w:t>
      </w:r>
    </w:p>
    <w:p w14:paraId="1D31424A" w14:textId="77777777" w:rsidR="00000000" w:rsidRDefault="00000000">
      <w:pPr>
        <w:pStyle w:val="Bibliografa"/>
        <w:spacing w:after="60"/>
        <w:ind w:hanging="505"/>
        <w:rPr>
          <w:sz w:val="16"/>
          <w:szCs w:val="16"/>
        </w:rPr>
      </w:pPr>
      <w:r>
        <w:rPr>
          <w:sz w:val="16"/>
          <w:szCs w:val="16"/>
        </w:rPr>
        <w:t>[13]</w:t>
      </w:r>
      <w:r>
        <w:rPr>
          <w:sz w:val="16"/>
          <w:szCs w:val="16"/>
        </w:rPr>
        <w:tab/>
        <w:t xml:space="preserve">M. Saarela and V. Podgorelec, “Recent Applications of Explainable AI (XAI): A Systematic Literature Review,” </w:t>
      </w:r>
      <w:r>
        <w:rPr>
          <w:i/>
          <w:iCs/>
          <w:sz w:val="16"/>
          <w:szCs w:val="16"/>
        </w:rPr>
        <w:t>Appl. Sci.</w:t>
      </w:r>
      <w:r>
        <w:rPr>
          <w:sz w:val="16"/>
          <w:szCs w:val="16"/>
        </w:rPr>
        <w:t>, vol. 14, no. 19, p. 8884, Oct. 2024, doi: 10.3390/app14198884.</w:t>
      </w:r>
    </w:p>
    <w:p w14:paraId="05C8C82F" w14:textId="77777777" w:rsidR="00000000" w:rsidRDefault="00000000">
      <w:pPr>
        <w:pStyle w:val="Bibliografa"/>
        <w:spacing w:after="60"/>
        <w:ind w:hanging="505"/>
        <w:rPr>
          <w:sz w:val="16"/>
          <w:szCs w:val="16"/>
        </w:rPr>
      </w:pPr>
      <w:r>
        <w:rPr>
          <w:sz w:val="16"/>
          <w:szCs w:val="16"/>
        </w:rPr>
        <w:t>[14]</w:t>
      </w:r>
      <w:r>
        <w:rPr>
          <w:sz w:val="16"/>
          <w:szCs w:val="16"/>
        </w:rPr>
        <w:tab/>
        <w:t xml:space="preserve">S. Lundberg and S.-I. Lee, “A Unified Approach to Interpreting Model Predictions,” </w:t>
      </w:r>
      <w:r>
        <w:rPr>
          <w:i/>
          <w:iCs/>
          <w:sz w:val="16"/>
          <w:szCs w:val="16"/>
        </w:rPr>
        <w:t>ArXiv Cornell Univ.</w:t>
      </w:r>
      <w:r>
        <w:rPr>
          <w:sz w:val="16"/>
          <w:szCs w:val="16"/>
        </w:rPr>
        <w:t>, May 2017, doi: 10.48550/arxiv.1705.07874.</w:t>
      </w:r>
    </w:p>
    <w:p w14:paraId="02B46881" w14:textId="77777777" w:rsidR="00000000" w:rsidRDefault="00000000">
      <w:pPr>
        <w:pStyle w:val="Bibliografa"/>
        <w:spacing w:after="60"/>
        <w:ind w:hanging="505"/>
        <w:rPr>
          <w:sz w:val="16"/>
          <w:szCs w:val="16"/>
        </w:rPr>
      </w:pPr>
      <w:r>
        <w:rPr>
          <w:sz w:val="16"/>
          <w:szCs w:val="16"/>
        </w:rPr>
        <w:t>[15]</w:t>
      </w:r>
      <w:r>
        <w:rPr>
          <w:sz w:val="16"/>
          <w:szCs w:val="16"/>
        </w:rPr>
        <w:tab/>
        <w:t xml:space="preserve">M. Bhatnagar and S. Huchhanavar, “Hybrid machine learning modelling with explainability for predicting case delays and durations in Indian lower courts,” </w:t>
      </w:r>
      <w:r>
        <w:rPr>
          <w:i/>
          <w:iCs/>
          <w:sz w:val="16"/>
          <w:szCs w:val="16"/>
        </w:rPr>
        <w:t>J. Big Data</w:t>
      </w:r>
      <w:r>
        <w:rPr>
          <w:sz w:val="16"/>
          <w:szCs w:val="16"/>
        </w:rPr>
        <w:t>, vol. 13, no. 1, Dec. 2025, doi: 10.1186/s40537-025-01340-1.</w:t>
      </w:r>
    </w:p>
    <w:p w14:paraId="5E19BD88" w14:textId="77777777" w:rsidR="00000000" w:rsidRDefault="00000000">
      <w:pPr>
        <w:pStyle w:val="Bibliografa"/>
        <w:spacing w:after="60"/>
        <w:ind w:hanging="505"/>
        <w:rPr>
          <w:sz w:val="16"/>
          <w:szCs w:val="16"/>
        </w:rPr>
      </w:pPr>
      <w:r>
        <w:rPr>
          <w:sz w:val="16"/>
          <w:szCs w:val="16"/>
        </w:rPr>
        <w:t>[16]</w:t>
      </w:r>
      <w:r>
        <w:rPr>
          <w:sz w:val="16"/>
          <w:szCs w:val="16"/>
        </w:rPr>
        <w:tab/>
        <w:t xml:space="preserve">J. Dressel and H. Farid, “The accuracy, fairness, and limits of predicting recidivism,” </w:t>
      </w:r>
      <w:r>
        <w:rPr>
          <w:i/>
          <w:iCs/>
          <w:sz w:val="16"/>
          <w:szCs w:val="16"/>
        </w:rPr>
        <w:t>Sci. Adv.</w:t>
      </w:r>
      <w:r>
        <w:rPr>
          <w:sz w:val="16"/>
          <w:szCs w:val="16"/>
        </w:rPr>
        <w:t>, vol. 4, no. 1, p. eaao5580, Jan. 2018, doi: 10.1126/sciadv.aao5580.</w:t>
      </w:r>
    </w:p>
    <w:p w14:paraId="1C88EBBE" w14:textId="77777777" w:rsidR="00000000" w:rsidRDefault="00000000">
      <w:pPr>
        <w:pStyle w:val="Bibliografa"/>
        <w:spacing w:after="60"/>
        <w:ind w:hanging="505"/>
        <w:rPr>
          <w:sz w:val="16"/>
          <w:szCs w:val="16"/>
          <w:lang w:val="es-PE"/>
        </w:rPr>
      </w:pPr>
      <w:r>
        <w:rPr>
          <w:sz w:val="16"/>
          <w:szCs w:val="16"/>
        </w:rPr>
        <w:t>[17]</w:t>
      </w:r>
      <w:r>
        <w:rPr>
          <w:sz w:val="16"/>
          <w:szCs w:val="16"/>
        </w:rPr>
        <w:tab/>
        <w:t xml:space="preserve">I. Taylor, “Is explainable AI responsible AI?,” </w:t>
      </w:r>
      <w:r>
        <w:rPr>
          <w:i/>
          <w:iCs/>
          <w:sz w:val="16"/>
          <w:szCs w:val="16"/>
        </w:rPr>
        <w:t>AI Soc.</w:t>
      </w:r>
      <w:r>
        <w:rPr>
          <w:sz w:val="16"/>
          <w:szCs w:val="16"/>
        </w:rPr>
        <w:t>, vol. 40, no. 3, pp. 1695–1704, Mar. 2025, doi: 10.1007/s00146-024-01939-7.</w:t>
      </w:r>
    </w:p>
    <w:p w14:paraId="4BC8A0A1" w14:textId="77777777" w:rsidR="00000000" w:rsidRDefault="00000000">
      <w:pPr>
        <w:pStyle w:val="Bibliografa"/>
        <w:spacing w:after="60"/>
        <w:ind w:hanging="505"/>
      </w:pPr>
      <w:r>
        <w:rPr>
          <w:sz w:val="16"/>
          <w:szCs w:val="16"/>
          <w:lang w:val="es-PE"/>
        </w:rPr>
        <w:t>[18]</w:t>
      </w:r>
      <w:r>
        <w:rPr>
          <w:sz w:val="16"/>
          <w:szCs w:val="16"/>
          <w:lang w:val="es-PE"/>
        </w:rPr>
        <w:tab/>
        <w:t xml:space="preserve">Ministerio Público – Fiscalía de la Nación (MPFN), “[MPFN] Casos fiscales | Plataforma Nacional de Datos Abiertos.” </w:t>
      </w:r>
      <w:r>
        <w:rPr>
          <w:sz w:val="16"/>
          <w:szCs w:val="16"/>
        </w:rPr>
        <w:t>Apr. 2022. [Online]. Available: https://www.datosabiertos.gob.pe/dataset/mpfn-casos-fiscales</w:t>
      </w:r>
    </w:p>
    <w:p w14:paraId="6AC71AB3" w14:textId="77777777" w:rsidR="00382574" w:rsidRDefault="00000000">
      <w:pPr>
        <w:pStyle w:val="DefaultParagraphFont1"/>
      </w:pPr>
      <w:r>
        <w:fldChar w:fldCharType="end"/>
      </w:r>
    </w:p>
    <w:sectPr w:rsidR="00382574">
      <w:type w:val="continuous"/>
      <w:pgSz w:w="12240" w:h="15840"/>
      <w:pgMar w:top="1080" w:right="900" w:bottom="1440" w:left="900"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5006B" w14:textId="77777777" w:rsidR="00382574" w:rsidRDefault="00382574">
      <w:r>
        <w:separator/>
      </w:r>
    </w:p>
  </w:endnote>
  <w:endnote w:type="continuationSeparator" w:id="0">
    <w:p w14:paraId="37923705" w14:textId="77777777" w:rsidR="00382574" w:rsidRDefault="003825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6B33B" w14:textId="77777777" w:rsidR="00000000" w:rsidRDefault="00000000">
    <w:pPr>
      <w:pStyle w:val="Piedepgina"/>
      <w:tabs>
        <w:tab w:val="clear" w:pos="4680"/>
        <w:tab w:val="clear" w:pos="9360"/>
        <w:tab w:val="right" w:pos="10440"/>
      </w:tabs>
    </w:pPr>
    <w:r>
      <w:rPr>
        <w:b/>
        <w:sz w:val="14"/>
        <w:szCs w:val="14"/>
      </w:rPr>
      <w:t>24</w:t>
    </w:r>
    <w:r>
      <w:rPr>
        <w:b/>
        <w:sz w:val="14"/>
        <w:szCs w:val="14"/>
        <w:vertAlign w:val="superscript"/>
      </w:rPr>
      <w:t>th</w:t>
    </w:r>
    <w:r>
      <w:rPr>
        <w:b/>
        <w:sz w:val="14"/>
        <w:szCs w:val="14"/>
      </w:rPr>
      <w:t xml:space="preserve"> LACCEI International Multi-Conference for Engineering, Education, and Technology: “</w:t>
    </w:r>
    <w:r>
      <w:rPr>
        <w:bCs/>
        <w:i/>
        <w:iCs/>
        <w:sz w:val="14"/>
        <w:szCs w:val="14"/>
      </w:rPr>
      <w:t>Engineering without Borders: Artificial Intelligence, Knowledge, Innovation, and Alliances for a Future from the Americas</w:t>
    </w:r>
    <w:r>
      <w:rPr>
        <w:b/>
        <w:sz w:val="14"/>
        <w:szCs w:val="14"/>
      </w:rPr>
      <w:t>”</w:t>
    </w:r>
    <w:r>
      <w:rPr>
        <w:bCs/>
        <w:i/>
        <w:iCs/>
        <w:sz w:val="14"/>
        <w:szCs w:val="14"/>
      </w:rPr>
      <w:t>.</w:t>
    </w:r>
    <w:r>
      <w:rPr>
        <w:b/>
        <w:sz w:val="14"/>
        <w:szCs w:val="14"/>
      </w:rPr>
      <w:t xml:space="preserve"> </w:t>
    </w:r>
    <w:r>
      <w:rPr>
        <w:bCs/>
        <w:sz w:val="14"/>
        <w:szCs w:val="14"/>
      </w:rPr>
      <w:t>Hybrid Event, Santiago-Chile, July 15 - 17, 2026</w:t>
    </w:r>
  </w:p>
  <w:p w14:paraId="01E6943C" w14:textId="77777777" w:rsidR="00000000" w:rsidRDefault="00000000">
    <w:pPr>
      <w:pStyle w:val="Piedepgina"/>
      <w:tabs>
        <w:tab w:val="clear" w:pos="4680"/>
        <w:tab w:val="clear" w:pos="9360"/>
        <w:tab w:val="right" w:pos="10440"/>
      </w:tabs>
      <w:jc w:val="right"/>
    </w:pPr>
    <w:r>
      <w:rPr>
        <w:sz w:val="16"/>
        <w:szCs w:val="16"/>
        <w:lang w:val="es-ES"/>
      </w:rPr>
      <w:fldChar w:fldCharType="begin"/>
    </w:r>
    <w:r>
      <w:rPr>
        <w:sz w:val="16"/>
        <w:szCs w:val="16"/>
        <w:lang w:val="es-ES"/>
      </w:rPr>
      <w:instrText xml:space="preserve"> PAGE </w:instrText>
    </w:r>
    <w:r>
      <w:rPr>
        <w:sz w:val="16"/>
        <w:szCs w:val="16"/>
        <w:lang w:val="es-ES"/>
      </w:rPr>
      <w:fldChar w:fldCharType="separate"/>
    </w:r>
    <w:r>
      <w:rPr>
        <w:sz w:val="16"/>
        <w:szCs w:val="16"/>
        <w:lang w:val="es-ES"/>
      </w:rPr>
      <w:t>1</w:t>
    </w:r>
    <w:r>
      <w:rPr>
        <w:sz w:val="16"/>
        <w:szCs w:val="16"/>
        <w:lang w:val="es-E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40215" w14:textId="77777777" w:rsidR="00000000" w:rsidRDefault="000000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92198" w14:textId="77777777" w:rsidR="00382574" w:rsidRDefault="00382574">
      <w:r>
        <w:separator/>
      </w:r>
    </w:p>
  </w:footnote>
  <w:footnote w:type="continuationSeparator" w:id="0">
    <w:p w14:paraId="296EC9E5" w14:textId="77777777" w:rsidR="00382574" w:rsidRDefault="003825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00000002"/>
    <w:name w:val="WW8Num2"/>
    <w:lvl w:ilvl="0">
      <w:start w:val="1"/>
      <w:numFmt w:val="decimal"/>
      <w:lvlText w:val="[%1]"/>
      <w:lvlJc w:val="left"/>
      <w:pPr>
        <w:tabs>
          <w:tab w:val="num" w:pos="360"/>
        </w:tabs>
        <w:ind w:left="360" w:hanging="360"/>
      </w:pPr>
      <w:rPr>
        <w:rFonts w:hint="default"/>
      </w:rPr>
    </w:lvl>
  </w:abstractNum>
  <w:num w:numId="1" w16cid:durableId="1800613430">
    <w:abstractNumId w:val="0"/>
  </w:num>
  <w:num w:numId="2" w16cid:durableId="4795395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346"/>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noLineBreaksAfter w:lang="zh-TW" w:val="([{‘“‵〈《「『【〔〝︵︷︹︻︽︿﹁﹃﹙﹛﹝（｛￡￥"/>
  <w:noLineBreaksBefore w:lang="zh-TW" w:val="!),.:;?]}·–—’”‥…‧′╴、。〉》」』】〕〞︰︱︳︴︶︸︺︼︾﹀﹂﹄﹏﹐﹑﹒﹔﹕﹖﹗﹚﹜﹞！），．：；？｜｝￠"/>
  <w:footnotePr>
    <w:footnote w:id="-1"/>
    <w:footnote w:id="0"/>
  </w:footnotePr>
  <w:endnotePr>
    <w:endnote w:id="-1"/>
    <w:endnote w:id="0"/>
  </w:endnotePr>
  <w:compat>
    <w:usePrinterMetric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C466A"/>
    <w:rsid w:val="000C466A"/>
    <w:rsid w:val="00382574"/>
    <w:rsid w:val="00DC11F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6D478A12"/>
  <w15:chartTrackingRefBased/>
  <w15:docId w15:val="{679C7CEE-36EA-443A-BFBA-1B3928515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overflowPunct w:val="0"/>
      <w:autoSpaceDE w:val="0"/>
      <w:textAlignment w:val="baseline"/>
    </w:pPr>
    <w:rPr>
      <w:rFonts w:ascii="Times" w:eastAsia="PMingLiU" w:hAnsi="Times" w:cs="Times"/>
      <w:lang w:val="en-AU" w:eastAsia="zh-TW"/>
    </w:rPr>
  </w:style>
  <w:style w:type="paragraph" w:styleId="Ttulo1">
    <w:name w:val="heading 1"/>
    <w:basedOn w:val="Normal"/>
    <w:next w:val="DefaultParagraphFont1"/>
    <w:qFormat/>
    <w:pPr>
      <w:numPr>
        <w:numId w:val="1"/>
      </w:numPr>
      <w:snapToGrid w:val="0"/>
      <w:spacing w:before="120" w:after="120"/>
      <w:jc w:val="center"/>
      <w:outlineLvl w:val="0"/>
    </w:pPr>
    <w:rPr>
      <w:rFonts w:ascii="Times New Roman" w:hAnsi="Times New Roman" w:cs="Times New Roman"/>
      <w:smallCaps/>
      <w:lang w:val="en-US"/>
    </w:rPr>
  </w:style>
  <w:style w:type="paragraph" w:styleId="Ttulo2">
    <w:name w:val="heading 2"/>
    <w:basedOn w:val="Normal"/>
    <w:next w:val="DefaultParagraphFont1"/>
    <w:qFormat/>
    <w:pPr>
      <w:numPr>
        <w:ilvl w:val="1"/>
        <w:numId w:val="1"/>
      </w:numPr>
      <w:snapToGrid w:val="0"/>
      <w:spacing w:before="120"/>
      <w:jc w:val="both"/>
      <w:outlineLvl w:val="1"/>
    </w:pPr>
    <w:rPr>
      <w:rFonts w:ascii="Times New Roman" w:hAnsi="Times New Roman" w:cs="Times New Roman"/>
      <w:i/>
      <w:lang w:val="en-US"/>
    </w:rPr>
  </w:style>
  <w:style w:type="paragraph" w:styleId="Ttulo3">
    <w:name w:val="heading 3"/>
    <w:basedOn w:val="DefaultParagraphFont1"/>
    <w:next w:val="DefaultParagraphFont1"/>
    <w:qFormat/>
    <w:pPr>
      <w:keepNext/>
      <w:numPr>
        <w:ilvl w:val="2"/>
        <w:numId w:val="1"/>
      </w:numPr>
      <w:spacing w:before="120"/>
      <w:ind w:firstLine="357"/>
      <w:outlineLvl w:val="2"/>
    </w:pPr>
    <w:rPr>
      <w:bCs/>
      <w:i/>
      <w:iCs/>
      <w:szCs w:val="24"/>
    </w:rPr>
  </w:style>
  <w:style w:type="paragraph" w:styleId="Ttulo4">
    <w:name w:val="heading 4"/>
    <w:basedOn w:val="Normal"/>
    <w:next w:val="Normal"/>
    <w:qFormat/>
    <w:pPr>
      <w:keepNext/>
      <w:numPr>
        <w:ilvl w:val="3"/>
        <w:numId w:val="1"/>
      </w:numPr>
      <w:spacing w:before="240" w:after="60"/>
      <w:outlineLvl w:val="3"/>
    </w:pPr>
    <w:rPr>
      <w:rFonts w:ascii="Calibri" w:eastAsia="Times New Roman" w:hAnsi="Calibri" w:cs="Times New Roman"/>
      <w:b/>
      <w:bCs/>
      <w:sz w:val="28"/>
      <w:szCs w:val="28"/>
    </w:rPr>
  </w:style>
  <w:style w:type="paragraph" w:styleId="Ttulo5">
    <w:name w:val="heading 5"/>
    <w:basedOn w:val="Normal"/>
    <w:next w:val="Normal"/>
    <w:qFormat/>
    <w:pPr>
      <w:numPr>
        <w:ilvl w:val="4"/>
        <w:numId w:val="1"/>
      </w:numPr>
      <w:spacing w:before="240" w:after="60"/>
      <w:outlineLvl w:val="4"/>
    </w:pPr>
    <w:rPr>
      <w:rFonts w:ascii="Calibri" w:eastAsia="Times New Roman" w:hAnsi="Calibri" w:cs="Times New Roman"/>
      <w:b/>
      <w:bCs/>
      <w:i/>
      <w:i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2z0">
    <w:name w:val="WW8Num2z0"/>
    <w:rPr>
      <w:rFonts w:hint="default"/>
    </w:rPr>
  </w:style>
  <w:style w:type="character" w:customStyle="1" w:styleId="Fuentedeprrafopredeter2">
    <w:name w:val="Fuente de párrafo predeter.2"/>
  </w:style>
  <w:style w:type="character" w:customStyle="1" w:styleId="WW8Num2z1">
    <w:name w:val="WW8Num2z1"/>
    <w:rPr>
      <w:rFonts w:ascii="Courier New" w:hAnsi="Courier New" w:cs="Courier New" w:hint="default"/>
    </w:rPr>
  </w:style>
  <w:style w:type="character" w:customStyle="1" w:styleId="WW8Num2z2">
    <w:name w:val="WW8Num2z2"/>
    <w:rPr>
      <w:rFonts w:ascii="Wingdings" w:hAnsi="Wingdings" w:cs="Wingdings" w:hint="default"/>
    </w:rPr>
  </w:style>
  <w:style w:type="character" w:customStyle="1" w:styleId="WW8Num2z3">
    <w:name w:val="WW8Num2z3"/>
    <w:rPr>
      <w:rFonts w:ascii="Symbol" w:hAnsi="Symbol" w:cs="Symbol" w:hint="default"/>
    </w:rPr>
  </w:style>
  <w:style w:type="character" w:customStyle="1" w:styleId="WW8Num3z0">
    <w:name w:val="WW8Num3z0"/>
    <w:rPr>
      <w:rFonts w:hint="default"/>
    </w:rPr>
  </w:style>
  <w:style w:type="character" w:customStyle="1" w:styleId="Fuentedeprrafopredeter1">
    <w:name w:val="Fuente de párrafo predeter.1"/>
  </w:style>
  <w:style w:type="character" w:customStyle="1" w:styleId="nsfaddress">
    <w:name w:val="nsfaddress"/>
    <w:basedOn w:val="Fuentedeprrafopredeter1"/>
  </w:style>
  <w:style w:type="character" w:styleId="Hipervnculo">
    <w:name w:val="Hyperlink"/>
    <w:rPr>
      <w:color w:val="000000"/>
      <w:u w:val="single"/>
    </w:rPr>
  </w:style>
  <w:style w:type="character" w:styleId="Fuerte">
    <w:name w:val="Strong"/>
    <w:qFormat/>
    <w:rPr>
      <w:b/>
      <w:bCs/>
    </w:rPr>
  </w:style>
  <w:style w:type="character" w:customStyle="1" w:styleId="Caracteresdenotaalpie">
    <w:name w:val="Caracteres de nota al pie"/>
    <w:rPr>
      <w:vertAlign w:val="superscript"/>
    </w:rPr>
  </w:style>
  <w:style w:type="character" w:customStyle="1" w:styleId="IEEEAbtractChar">
    <w:name w:val="IEEE Abtract Char"/>
    <w:rPr>
      <w:b/>
      <w:sz w:val="18"/>
      <w:szCs w:val="24"/>
      <w:lang w:val="en-GB"/>
    </w:rPr>
  </w:style>
  <w:style w:type="character" w:customStyle="1" w:styleId="EncabezadoCar">
    <w:name w:val="Encabezado Car"/>
    <w:rPr>
      <w:rFonts w:ascii="Times" w:eastAsia="PMingLiU" w:hAnsi="Times" w:cs="Times"/>
      <w:lang w:val="en-AU" w:eastAsia="zh-TW"/>
    </w:rPr>
  </w:style>
  <w:style w:type="character" w:customStyle="1" w:styleId="PiedepginaCar">
    <w:name w:val="Pie de página Car"/>
    <w:rPr>
      <w:rFonts w:ascii="Times" w:eastAsia="PMingLiU" w:hAnsi="Times" w:cs="Times"/>
      <w:lang w:val="en-AU" w:eastAsia="zh-TW"/>
    </w:rPr>
  </w:style>
  <w:style w:type="character" w:customStyle="1" w:styleId="TtuloCar">
    <w:name w:val="Título Car"/>
    <w:rPr>
      <w:rFonts w:eastAsia="PMingLiU"/>
      <w:bCs/>
      <w:sz w:val="48"/>
      <w:szCs w:val="48"/>
      <w:lang w:eastAsia="zh-TW"/>
    </w:rPr>
  </w:style>
  <w:style w:type="character" w:customStyle="1" w:styleId="IEEEAuthorNameChar">
    <w:name w:val="IEEE Author Name Char"/>
    <w:rPr>
      <w:rFonts w:eastAsia="Times New Roman"/>
      <w:sz w:val="22"/>
      <w:szCs w:val="24"/>
      <w:lang w:val="en-GB"/>
    </w:rPr>
  </w:style>
  <w:style w:type="character" w:customStyle="1" w:styleId="AuthorsChar">
    <w:name w:val="Authors Char"/>
    <w:basedOn w:val="IEEEAuthorNameChar"/>
    <w:rPr>
      <w:rFonts w:eastAsia="Times New Roman"/>
      <w:sz w:val="22"/>
      <w:szCs w:val="24"/>
      <w:lang w:val="en-GB"/>
    </w:rPr>
  </w:style>
  <w:style w:type="character" w:customStyle="1" w:styleId="IEEEAuthorAffiliationChar">
    <w:name w:val="IEEE Author Affiliation Char"/>
    <w:rPr>
      <w:rFonts w:eastAsia="Times New Roman"/>
      <w:i/>
      <w:szCs w:val="24"/>
      <w:lang w:val="en-GB"/>
    </w:rPr>
  </w:style>
  <w:style w:type="character" w:customStyle="1" w:styleId="InstitutionandEmailChar">
    <w:name w:val="Institution and Email Char"/>
    <w:rPr>
      <w:rFonts w:ascii="Times" w:eastAsia="PMingLiU" w:hAnsi="Times" w:cs="Times"/>
      <w:i/>
      <w:szCs w:val="24"/>
      <w:lang w:val="en-AU" w:eastAsia="zh-TW"/>
    </w:rPr>
  </w:style>
  <w:style w:type="character" w:customStyle="1" w:styleId="AbstractandKeywordsChar">
    <w:name w:val="Abstract and Keywords Char"/>
    <w:rPr>
      <w:rFonts w:ascii="Times" w:eastAsia="PMingLiU" w:hAnsi="Times" w:cs="Times"/>
      <w:b/>
      <w:i/>
      <w:sz w:val="18"/>
      <w:szCs w:val="18"/>
      <w:lang w:val="en-GB" w:eastAsia="zh-TW"/>
    </w:rPr>
  </w:style>
  <w:style w:type="character" w:customStyle="1" w:styleId="TableCaptionChar">
    <w:name w:val="Table Caption Char"/>
    <w:rPr>
      <w:rFonts w:eastAsia="PMingLiU"/>
      <w:sz w:val="16"/>
      <w:szCs w:val="16"/>
      <w:lang w:val="en-US" w:eastAsia="zh-TW"/>
    </w:rPr>
  </w:style>
  <w:style w:type="character" w:customStyle="1" w:styleId="Refdecomentario1">
    <w:name w:val="Ref. de comentario1"/>
    <w:rPr>
      <w:sz w:val="16"/>
      <w:szCs w:val="16"/>
    </w:rPr>
  </w:style>
  <w:style w:type="character" w:customStyle="1" w:styleId="ReferenceentryChar">
    <w:name w:val="Reference entry Char"/>
    <w:rPr>
      <w:sz w:val="16"/>
      <w:szCs w:val="16"/>
      <w:lang w:eastAsia="zh-CN"/>
    </w:rPr>
  </w:style>
  <w:style w:type="character" w:customStyle="1" w:styleId="TextocomentarioCar">
    <w:name w:val="Texto comentario Car"/>
    <w:rPr>
      <w:rFonts w:ascii="Times" w:eastAsia="PMingLiU" w:hAnsi="Times" w:cs="Times"/>
      <w:lang w:val="en-AU" w:eastAsia="zh-TW"/>
    </w:rPr>
  </w:style>
  <w:style w:type="character" w:customStyle="1" w:styleId="AsuntodelcomentarioCar">
    <w:name w:val="Asunto del comentario Car"/>
    <w:rPr>
      <w:rFonts w:ascii="Times" w:eastAsia="PMingLiU" w:hAnsi="Times" w:cs="Times"/>
      <w:b/>
      <w:bCs/>
      <w:lang w:val="en-AU" w:eastAsia="zh-TW"/>
    </w:rPr>
  </w:style>
  <w:style w:type="character" w:customStyle="1" w:styleId="FigureCaptionChar">
    <w:name w:val="Figure Caption Char"/>
    <w:rPr>
      <w:rFonts w:eastAsia="Times New Roman"/>
      <w:sz w:val="16"/>
      <w:szCs w:val="16"/>
      <w:lang w:val="en-US"/>
    </w:rPr>
  </w:style>
  <w:style w:type="character" w:customStyle="1" w:styleId="Ttulo4Car">
    <w:name w:val="Título 4 Car"/>
    <w:rPr>
      <w:rFonts w:ascii="Calibri" w:eastAsia="Times New Roman" w:hAnsi="Calibri" w:cs="Times New Roman"/>
      <w:b/>
      <w:bCs/>
      <w:sz w:val="28"/>
      <w:szCs w:val="28"/>
      <w:lang w:val="en-AU" w:eastAsia="zh-TW"/>
    </w:rPr>
  </w:style>
  <w:style w:type="character" w:customStyle="1" w:styleId="Ttulo5Car">
    <w:name w:val="Título 5 Car"/>
    <w:rPr>
      <w:rFonts w:ascii="Calibri" w:eastAsia="Times New Roman" w:hAnsi="Calibri" w:cs="Times New Roman"/>
      <w:b/>
      <w:bCs/>
      <w:i/>
      <w:iCs/>
      <w:sz w:val="26"/>
      <w:szCs w:val="26"/>
      <w:lang w:val="en-AU" w:eastAsia="zh-TW"/>
    </w:rPr>
  </w:style>
  <w:style w:type="character" w:customStyle="1" w:styleId="TablecaptionCar">
    <w:name w:val="Table caption Car"/>
    <w:rPr>
      <w:rFonts w:eastAsia="PMingLiU"/>
      <w:b/>
      <w:bCs/>
      <w:lang w:val="en-US" w:eastAsia="zh-TW"/>
    </w:rPr>
  </w:style>
  <w:style w:type="character" w:customStyle="1" w:styleId="NotetableCar">
    <w:name w:val="Note table Car"/>
    <w:rPr>
      <w:rFonts w:ascii="Times" w:eastAsia="PMingLiU" w:hAnsi="Times" w:cs="Times"/>
      <w:i/>
      <w:iCs/>
      <w:sz w:val="16"/>
      <w:lang w:val="en-US" w:eastAsia="zh-TW"/>
    </w:rPr>
  </w:style>
  <w:style w:type="paragraph" w:customStyle="1" w:styleId="Ttulo20">
    <w:name w:val="Título2"/>
    <w:basedOn w:val="Normal"/>
    <w:next w:val="Textoindependiente"/>
    <w:pPr>
      <w:keepNext/>
      <w:spacing w:before="240" w:after="120"/>
    </w:pPr>
    <w:rPr>
      <w:rFonts w:ascii="Liberation Sans" w:eastAsia="Microsoft YaHei" w:hAnsi="Liberation Sans" w:cs="Lucida 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sz w:val="24"/>
      <w:szCs w:val="24"/>
    </w:rPr>
  </w:style>
  <w:style w:type="paragraph" w:customStyle="1" w:styleId="ndice">
    <w:name w:val="Índice"/>
    <w:basedOn w:val="Normal"/>
    <w:pPr>
      <w:suppressLineNumbers/>
    </w:pPr>
    <w:rPr>
      <w:rFonts w:cs="Lucida Sans"/>
    </w:rPr>
  </w:style>
  <w:style w:type="paragraph" w:customStyle="1" w:styleId="DefaultParagraphFont1">
    <w:name w:val="Default Paragraph Font1"/>
    <w:next w:val="Normal"/>
    <w:pPr>
      <w:suppressAutoHyphens/>
      <w:overflowPunct w:val="0"/>
      <w:autoSpaceDE w:val="0"/>
      <w:textAlignment w:val="baseline"/>
    </w:pPr>
    <w:rPr>
      <w:rFonts w:ascii="Times" w:eastAsia="PMingLiU" w:hAnsi="Times" w:cs="Times"/>
      <w:lang w:val="en-US" w:eastAsia="zh-TW"/>
    </w:rPr>
  </w:style>
  <w:style w:type="paragraph" w:customStyle="1" w:styleId="Ttulo10">
    <w:name w:val="Título1"/>
    <w:basedOn w:val="DefaultParagraphFont1"/>
    <w:next w:val="Normal"/>
    <w:pPr>
      <w:jc w:val="center"/>
    </w:pPr>
    <w:rPr>
      <w:rFonts w:ascii="Times New Roman" w:hAnsi="Times New Roman" w:cs="Times New Roman"/>
      <w:bCs/>
      <w:sz w:val="48"/>
      <w:szCs w:val="48"/>
    </w:rPr>
  </w:style>
  <w:style w:type="paragraph" w:customStyle="1" w:styleId="Descripcin1">
    <w:name w:val="Descripción1"/>
    <w:basedOn w:val="Normal"/>
    <w:pPr>
      <w:suppressLineNumbers/>
      <w:spacing w:before="120" w:after="120"/>
    </w:pPr>
    <w:rPr>
      <w:rFonts w:cs="Lucida Sans"/>
      <w:i/>
      <w:iCs/>
      <w:sz w:val="24"/>
      <w:szCs w:val="24"/>
    </w:rPr>
  </w:style>
  <w:style w:type="paragraph" w:customStyle="1" w:styleId="caption1">
    <w:name w:val="caption1"/>
    <w:basedOn w:val="Normal"/>
    <w:pPr>
      <w:suppressLineNumbers/>
      <w:spacing w:before="120" w:after="120"/>
    </w:pPr>
    <w:rPr>
      <w:rFonts w:cs="Lucida Sans"/>
      <w:i/>
      <w:iCs/>
      <w:sz w:val="24"/>
      <w:szCs w:val="24"/>
    </w:rPr>
  </w:style>
  <w:style w:type="paragraph" w:customStyle="1" w:styleId="Sangranormal1">
    <w:name w:val="Sangría normal1"/>
    <w:basedOn w:val="Normal"/>
    <w:pPr>
      <w:ind w:left="720"/>
    </w:pPr>
  </w:style>
  <w:style w:type="paragraph" w:styleId="Textonotapie">
    <w:name w:val="footnote text"/>
    <w:basedOn w:val="Normal"/>
  </w:style>
  <w:style w:type="paragraph" w:styleId="Textodeglobo">
    <w:name w:val="Balloon Text"/>
    <w:basedOn w:val="Normal"/>
    <w:rPr>
      <w:rFonts w:ascii="Arial" w:hAnsi="Arial" w:cs="Times New Roman"/>
      <w:sz w:val="16"/>
      <w:szCs w:val="16"/>
    </w:rPr>
  </w:style>
  <w:style w:type="paragraph" w:customStyle="1" w:styleId="IEEEAuthorName">
    <w:name w:val="IEEE Author Name"/>
    <w:basedOn w:val="Normal"/>
    <w:next w:val="Normal"/>
    <w:pPr>
      <w:overflowPunct/>
      <w:autoSpaceDE/>
      <w:snapToGrid w:val="0"/>
      <w:spacing w:before="120" w:after="120"/>
      <w:jc w:val="center"/>
      <w:textAlignment w:val="auto"/>
    </w:pPr>
    <w:rPr>
      <w:rFonts w:ascii="Times New Roman" w:eastAsia="Times New Roman" w:hAnsi="Times New Roman" w:cs="Times New Roman"/>
      <w:sz w:val="22"/>
      <w:szCs w:val="24"/>
      <w:lang w:val="en-GB"/>
    </w:rPr>
  </w:style>
  <w:style w:type="paragraph" w:customStyle="1" w:styleId="IEEEAuthorAffiliation">
    <w:name w:val="IEEE Author Affiliation"/>
    <w:basedOn w:val="Normal"/>
    <w:next w:val="Normal"/>
    <w:pPr>
      <w:overflowPunct/>
      <w:autoSpaceDE/>
      <w:spacing w:after="60"/>
      <w:jc w:val="center"/>
      <w:textAlignment w:val="auto"/>
    </w:pPr>
    <w:rPr>
      <w:rFonts w:ascii="Times New Roman" w:eastAsia="Times New Roman" w:hAnsi="Times New Roman" w:cs="Times New Roman"/>
      <w:i/>
      <w:szCs w:val="24"/>
      <w:lang w:val="en-GB"/>
    </w:rPr>
  </w:style>
  <w:style w:type="paragraph" w:customStyle="1" w:styleId="IEEEAbtract">
    <w:name w:val="IEEE Abtract"/>
    <w:basedOn w:val="Normal"/>
    <w:next w:val="Normal"/>
    <w:pPr>
      <w:overflowPunct/>
      <w:autoSpaceDE/>
      <w:snapToGrid w:val="0"/>
      <w:jc w:val="both"/>
      <w:textAlignment w:val="auto"/>
    </w:pPr>
    <w:rPr>
      <w:rFonts w:ascii="Times New Roman" w:eastAsia="SimSun" w:hAnsi="Times New Roman" w:cs="Times New Roman"/>
      <w:b/>
      <w:sz w:val="18"/>
      <w:szCs w:val="24"/>
      <w:lang w:val="en-GB"/>
    </w:rPr>
  </w:style>
  <w:style w:type="paragraph" w:customStyle="1" w:styleId="Cabeceraypie">
    <w:name w:val="Cabecera y pie"/>
    <w:basedOn w:val="Normal"/>
    <w:pPr>
      <w:suppressLineNumbers/>
      <w:tabs>
        <w:tab w:val="center" w:pos="4819"/>
        <w:tab w:val="right" w:pos="9638"/>
      </w:tabs>
    </w:pPr>
  </w:style>
  <w:style w:type="paragraph" w:styleId="Encabezado">
    <w:name w:val="header"/>
    <w:basedOn w:val="Normal"/>
    <w:pPr>
      <w:tabs>
        <w:tab w:val="center" w:pos="4680"/>
        <w:tab w:val="right" w:pos="9360"/>
      </w:tabs>
    </w:pPr>
  </w:style>
  <w:style w:type="paragraph" w:styleId="Piedepgina">
    <w:name w:val="footer"/>
    <w:basedOn w:val="Normal"/>
    <w:pPr>
      <w:tabs>
        <w:tab w:val="center" w:pos="4680"/>
        <w:tab w:val="right" w:pos="9360"/>
      </w:tabs>
    </w:pPr>
  </w:style>
  <w:style w:type="paragraph" w:customStyle="1" w:styleId="Authors">
    <w:name w:val="Authors"/>
    <w:basedOn w:val="IEEEAuthorName"/>
    <w:pPr>
      <w:tabs>
        <w:tab w:val="center" w:pos="5400"/>
      </w:tabs>
      <w:spacing w:before="0" w:after="0"/>
    </w:pPr>
  </w:style>
  <w:style w:type="paragraph" w:customStyle="1" w:styleId="InstitutionandEmail">
    <w:name w:val="Institution and Email"/>
    <w:basedOn w:val="Normal"/>
    <w:pPr>
      <w:tabs>
        <w:tab w:val="center" w:pos="5400"/>
      </w:tabs>
    </w:pPr>
    <w:rPr>
      <w:i/>
    </w:rPr>
  </w:style>
  <w:style w:type="paragraph" w:customStyle="1" w:styleId="AbstractandKeywords">
    <w:name w:val="Abstract and Keywords"/>
    <w:basedOn w:val="IEEEAbtract"/>
    <w:next w:val="Ttulo1"/>
    <w:pPr>
      <w:ind w:firstLine="360"/>
    </w:pPr>
    <w:rPr>
      <w:rFonts w:ascii="Times" w:eastAsia="PMingLiU" w:hAnsi="Times" w:cs="Times"/>
      <w:i/>
      <w:szCs w:val="18"/>
      <w:lang w:val="en-US"/>
    </w:rPr>
  </w:style>
  <w:style w:type="paragraph" w:customStyle="1" w:styleId="TableCaption">
    <w:name w:val="Table Caption"/>
    <w:basedOn w:val="Normal"/>
    <w:pPr>
      <w:tabs>
        <w:tab w:val="left" w:pos="360"/>
      </w:tabs>
      <w:snapToGrid w:val="0"/>
      <w:spacing w:before="120" w:after="120"/>
      <w:jc w:val="center"/>
    </w:pPr>
    <w:rPr>
      <w:rFonts w:ascii="Times New Roman" w:hAnsi="Times New Roman" w:cs="Times New Roman"/>
      <w:sz w:val="16"/>
      <w:szCs w:val="16"/>
      <w:lang w:val="en-US"/>
    </w:rPr>
  </w:style>
  <w:style w:type="paragraph" w:customStyle="1" w:styleId="Referenceentry">
    <w:name w:val="Reference entry"/>
    <w:basedOn w:val="Normal"/>
    <w:pPr>
      <w:numPr>
        <w:numId w:val="2"/>
      </w:numPr>
      <w:tabs>
        <w:tab w:val="left" w:pos="270"/>
      </w:tabs>
      <w:snapToGrid w:val="0"/>
      <w:ind w:left="270" w:hanging="270"/>
      <w:jc w:val="both"/>
    </w:pPr>
    <w:rPr>
      <w:rFonts w:ascii="Times New Roman" w:eastAsia="SimSun" w:hAnsi="Times New Roman" w:cs="Times New Roman"/>
      <w:sz w:val="16"/>
      <w:szCs w:val="16"/>
      <w:lang w:val="en-US" w:eastAsia="zh-CN"/>
    </w:rPr>
  </w:style>
  <w:style w:type="paragraph" w:customStyle="1" w:styleId="Textocomentario1">
    <w:name w:val="Texto comentario1"/>
    <w:basedOn w:val="Normal"/>
  </w:style>
  <w:style w:type="paragraph" w:styleId="Asuntodelcomentario">
    <w:name w:val="annotation subject"/>
    <w:basedOn w:val="Textocomentario1"/>
    <w:next w:val="Textocomentario1"/>
    <w:rPr>
      <w:b/>
      <w:bCs/>
    </w:rPr>
  </w:style>
  <w:style w:type="paragraph" w:customStyle="1" w:styleId="Text">
    <w:name w:val="Text"/>
    <w:basedOn w:val="Normal"/>
    <w:pPr>
      <w:widowControl w:val="0"/>
      <w:overflowPunct/>
      <w:autoSpaceDE/>
      <w:spacing w:line="252" w:lineRule="auto"/>
      <w:ind w:firstLine="202"/>
      <w:jc w:val="both"/>
      <w:textAlignment w:val="auto"/>
    </w:pPr>
    <w:rPr>
      <w:rFonts w:ascii="Times New Roman" w:eastAsia="Times New Roman" w:hAnsi="Times New Roman" w:cs="Times New Roman"/>
      <w:lang w:val="en-US"/>
    </w:rPr>
  </w:style>
  <w:style w:type="paragraph" w:customStyle="1" w:styleId="FigureCaption">
    <w:name w:val="Figure Caption"/>
    <w:basedOn w:val="Normal"/>
    <w:next w:val="Normal"/>
    <w:pPr>
      <w:overflowPunct/>
      <w:autoSpaceDE/>
      <w:spacing w:before="120" w:after="120"/>
      <w:jc w:val="center"/>
      <w:textAlignment w:val="auto"/>
    </w:pPr>
    <w:rPr>
      <w:rFonts w:ascii="Times New Roman" w:eastAsia="Times New Roman" w:hAnsi="Times New Roman" w:cs="Times New Roman"/>
      <w:sz w:val="16"/>
      <w:szCs w:val="16"/>
      <w:lang w:val="en-US"/>
    </w:rPr>
  </w:style>
  <w:style w:type="paragraph" w:customStyle="1" w:styleId="Tablecaption1">
    <w:name w:val="Table caption1"/>
    <w:basedOn w:val="Normal"/>
    <w:pPr>
      <w:snapToGrid w:val="0"/>
      <w:ind w:firstLine="360"/>
      <w:jc w:val="both"/>
    </w:pPr>
    <w:rPr>
      <w:rFonts w:ascii="Times New Roman" w:hAnsi="Times New Roman" w:cs="Times New Roman"/>
      <w:b/>
      <w:bCs/>
      <w:lang w:val="en-US"/>
    </w:rPr>
  </w:style>
  <w:style w:type="paragraph" w:customStyle="1" w:styleId="Notetable">
    <w:name w:val="Note table"/>
    <w:basedOn w:val="Normal"/>
    <w:pPr>
      <w:snapToGrid w:val="0"/>
      <w:spacing w:before="120" w:after="60"/>
      <w:jc w:val="both"/>
    </w:pPr>
    <w:rPr>
      <w:rFonts w:cs="Times New Roman"/>
      <w:i/>
      <w:iCs/>
      <w:sz w:val="16"/>
      <w:lang w:val="en-US"/>
    </w:rPr>
  </w:style>
  <w:style w:type="paragraph" w:styleId="Bibliografa">
    <w:name w:val="Bibliography"/>
    <w:basedOn w:val="Normal"/>
    <w:next w:val="Normal"/>
    <w:pPr>
      <w:tabs>
        <w:tab w:val="left" w:pos="504"/>
      </w:tabs>
      <w:ind w:left="504" w:hanging="504"/>
    </w:pPr>
  </w:style>
  <w:style w:type="paragraph" w:customStyle="1" w:styleId="Contenidodelatabla">
    <w:name w:val="Contenido de la tabla"/>
    <w:basedOn w:val="Normal"/>
    <w:pPr>
      <w:widowControl w:val="0"/>
      <w:suppressLineNumbers/>
    </w:pPr>
  </w:style>
  <w:style w:type="paragraph" w:customStyle="1" w:styleId="Ttulodelatabla">
    <w:name w:val="Título de la tabla"/>
    <w:basedOn w:val="Contenidodelatabla"/>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targetScreenSz w:val="1152x88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yperlink" Target="https://orcid.org/0009-0002-5382-1390" TargetMode="Externa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D:\papers\research\C15-202610-fiscal\papers\drafts\152048@senati.pe" TargetMode="External"/><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hyperlink" Target="mailto:mevangelistag@senati.pe"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orcid.org/0009-0005-6789-076X"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15833</Words>
  <Characters>87085</Characters>
  <Application>Microsoft Office Word</Application>
  <DocSecurity>0</DocSecurity>
  <Lines>725</Lines>
  <Paragraphs>205</Paragraphs>
  <ScaleCrop>false</ScaleCrop>
  <Company/>
  <LinksUpToDate>false</LinksUpToDate>
  <CharactersWithSpaces>102713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Conference Paper Template</dc:title>
  <dc:subject/>
  <dc:creator>Max</dc:creator>
  <cp:keywords/>
  <cp:lastModifiedBy>MOISES EVANGELISTA GAMARRA</cp:lastModifiedBy>
  <cp:revision>2</cp:revision>
  <cp:lastPrinted>2024-08-06T16:16:00Z</cp:lastPrinted>
  <dcterms:created xsi:type="dcterms:W3CDTF">2026-08-24T19:47:00Z</dcterms:created>
  <dcterms:modified xsi:type="dcterms:W3CDTF">2026-08-24T19:47:00Z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id="LZLU3noR"/&gt;&lt;style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