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DBBC0F0" w14:textId="77777777" w:rsidR="00000000" w:rsidRDefault="00000000">
      <w:pPr>
        <w:pStyle w:val="DefaultParagraphFont1"/>
        <w:spacing w:after="160"/>
        <w:jc w:val="center"/>
        <w:rPr>
          <w:lang w:val="es-PE"/>
        </w:rPr>
      </w:pPr>
      <w:r>
        <w:rPr>
          <w:b/>
          <w:sz w:val="36"/>
          <w:szCs w:val="32"/>
          <w:lang w:val="es-PE"/>
        </w:rPr>
        <w:t>Un marco metodológico reproducible para la predicción del riesgo de congestión fiscal mediante aprendizaje automático explicable y validación temporal</w:t>
      </w:r>
    </w:p>
    <w:p w14:paraId="36E59D17" w14:textId="77777777" w:rsidR="00000000" w:rsidRDefault="00000000">
      <w:pPr>
        <w:pStyle w:val="Authors"/>
        <w:ind w:firstLine="0"/>
        <w:rPr>
          <w:rFonts w:ascii="Times" w:eastAsia="PMingLiU" w:hAnsi="Times" w:cs="Times"/>
          <w:iCs/>
          <w:lang w:val="es-PE"/>
        </w:rPr>
      </w:pPr>
      <w:r>
        <w:rPr>
          <w:lang w:val="es-PE"/>
        </w:rPr>
        <w:t>Moisés Evangelista Gamarra</w:t>
      </w:r>
      <w:r>
        <w:rPr>
          <w:vertAlign w:val="superscript"/>
          <w:lang w:val="es-PE"/>
        </w:rPr>
        <w:t>1</w:t>
      </w:r>
      <w:hyperlink r:id="rId7" w:history="1">
        <w:r>
          <w:rPr>
            <w:rStyle w:val="Hipervnculo"/>
            <w:lang w:val="es-PE"/>
          </w:rPr>
          <w:pict w14:anchorId="36B1B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pt;height:7.2pt" filled="t">
              <v:fill color2="black"/>
              <v:imagedata r:id="rId8" o:title="" croptop="-21f" cropbottom="-21f" cropleft="-14f" cropright="-21f"/>
            </v:shape>
          </w:pict>
        </w:r>
        <w:r>
          <w:rPr>
            <w:rStyle w:val="Hipervnculo"/>
            <w:lang w:val="es-PE"/>
          </w:rPr>
          <w:t>;</w:t>
        </w:r>
      </w:hyperlink>
      <w:r>
        <w:rPr>
          <w:lang w:val="es-PE"/>
        </w:rPr>
        <w:t xml:space="preserve"> Jerremi Aron Chancan Labajos</w:t>
      </w:r>
      <w:r>
        <w:rPr>
          <w:vertAlign w:val="superscript"/>
          <w:lang w:val="es-PE"/>
        </w:rPr>
        <w:t>1</w:t>
      </w:r>
      <w:hyperlink r:id="rId9" w:history="1">
        <w:r>
          <w:pict w14:anchorId="59D215A2">
            <v:shape id="_x0000_i1026" type="#_x0000_t75" href="https://orcid.org/0009-0005-6789-076X" style="width:7.2pt;height:7.2pt" o:allowoverlap="f" o:button="t" filled="t">
              <v:fill color2="black"/>
              <v:imagedata r:id="rId8" o:title="" croptop="-21f" cropbottom="-21f" cropleft="-14f" cropright="-21f"/>
            </v:shape>
          </w:pict>
        </w:r>
      </w:hyperlink>
    </w:p>
    <w:p w14:paraId="21C85665" w14:textId="482AD458" w:rsidR="00000000" w:rsidRDefault="00000000">
      <w:pPr>
        <w:pStyle w:val="Authors"/>
        <w:ind w:firstLine="0"/>
        <w:rPr>
          <w:lang w:val="es-PE"/>
        </w:rPr>
      </w:pPr>
      <w:r>
        <w:rPr>
          <w:rFonts w:ascii="Times" w:eastAsia="PMingLiU" w:hAnsi="Times" w:cs="Times"/>
          <w:iCs/>
          <w:lang w:val="es-PE"/>
        </w:rPr>
        <w:t>Servicio Nacional de Adiestramiento en Trabajo Industrial, Lima, Perú</w:t>
      </w:r>
      <w:r>
        <w:rPr>
          <w:rFonts w:ascii="Times" w:eastAsia="PMingLiU" w:hAnsi="Times" w:cs="Times"/>
          <w:i/>
          <w:lang w:val="es-PE"/>
        </w:rPr>
        <w:t xml:space="preserve">, </w:t>
      </w:r>
      <w:hyperlink r:id="rId10" w:history="1">
        <w:r>
          <w:rPr>
            <w:rStyle w:val="Hipervnculo"/>
            <w:rFonts w:ascii="Times" w:eastAsia="PMingLiU" w:hAnsi="Times" w:cs="Times"/>
            <w:i/>
            <w:lang w:val="es-PE"/>
          </w:rPr>
          <w:t>mevangelistag@senati.pe</w:t>
        </w:r>
      </w:hyperlink>
      <w:r>
        <w:rPr>
          <w:rFonts w:ascii="Times" w:eastAsia="PMingLiU" w:hAnsi="Times" w:cs="Times"/>
          <w:i/>
          <w:lang w:val="es-PE"/>
        </w:rPr>
        <w:t xml:space="preserve">, </w:t>
      </w:r>
      <w:hyperlink r:id="rId11" w:history="1">
        <w:r>
          <w:rPr>
            <w:rStyle w:val="Hipervnculo"/>
            <w:rFonts w:ascii="Times" w:eastAsia="PMingLiU" w:hAnsi="Times" w:cs="Times"/>
            <w:i/>
            <w:lang w:val="es-PE"/>
          </w:rPr>
          <w:t>152048@senati.pe</w:t>
        </w:r>
      </w:hyperlink>
    </w:p>
    <w:p w14:paraId="1DA72EC5" w14:textId="77777777" w:rsidR="00000000" w:rsidRDefault="00000000">
      <w:pPr>
        <w:pStyle w:val="DefaultParagraphFont1"/>
        <w:jc w:val="both"/>
        <w:rPr>
          <w:lang w:val="es-PE"/>
        </w:rPr>
      </w:pPr>
    </w:p>
    <w:p w14:paraId="31B9F962" w14:textId="77777777" w:rsidR="00000000" w:rsidRDefault="00000000">
      <w:pPr>
        <w:sectPr w:rsidR="00000000">
          <w:footerReference w:type="default" r:id="rId12"/>
          <w:footerReference w:type="first" r:id="rId13"/>
          <w:pgSz w:w="12240" w:h="15840"/>
          <w:pgMar w:top="1080" w:right="900" w:bottom="1440" w:left="900" w:header="720" w:footer="720" w:gutter="0"/>
          <w:cols w:space="720"/>
          <w:formProt w:val="0"/>
          <w:docGrid w:linePitch="360"/>
        </w:sectPr>
      </w:pPr>
    </w:p>
    <w:p w14:paraId="46A0F8D2" w14:textId="77777777" w:rsidR="00000000" w:rsidRDefault="00000000">
      <w:pPr>
        <w:pStyle w:val="AbstractandKeywords"/>
      </w:pPr>
      <w:r>
        <w:rPr>
          <w:lang w:val="es-PE"/>
        </w:rPr>
        <w:t>Resumen– La congestión en los sistemas de justicia constituye un desafío para la planificación institucional debido a su impacto sobre la carga operativa y la asignación de recursos. Este trabajo propone un framework reproducible de aprendizaje automático para estimar el riesgo proxy de congestión fiscal utilizando registros administrativos del Ministerio Público del Perú correspondientes al periodo 2019–2026. La metodología integra selección robusta de variables por consenso, validación temporal para prevenir fuga de información, evaluación de robustez, estudio de ablación e interpretabilidad mediante SHAP dentro de un único flujo metodológico. El modelo seleccionado alcanzó un F1-score de 0.469 y un ROC-AUC de 0.798 sobre el conjunto de prueba 2025, manteniendo un comportamiento consistente en la validación temporal externa de 2026. El estudio de ablación y el análisis SHAP evidenciaron que la capacidad predictiva depende principalmente de patrones territoriales e institucionales, mientras que las variables históricas aportan información complementaria. Asimismo, el análisis de impacto operacional mostró el potencial del modelo para apoyar la priorización preventiva de combinaciones operativas con mayor riesgo estimado. La principal contribución del trabajo es un marco metodológico de consenso, validación temporal y explicabilidad metodológico reproducible que integra selección robusta de variables, validación temporal, evaluación de robustez e interpretabilidad para apoyar sistemas de decisión en el ámbito prosecutorial.</w:t>
      </w:r>
    </w:p>
    <w:p w14:paraId="2876706C" w14:textId="77777777" w:rsidR="00000000" w:rsidRDefault="00000000">
      <w:pPr>
        <w:pStyle w:val="AbstractandKeywords"/>
      </w:pPr>
      <w:r>
        <w:t>Palabras clave—</w:t>
      </w:r>
      <w:r>
        <w:rPr>
          <w:b w:val="0"/>
          <w:i w:val="0"/>
          <w:sz w:val="20"/>
          <w:szCs w:val="20"/>
        </w:rPr>
        <w:t xml:space="preserve"> </w:t>
      </w:r>
      <w:r>
        <w:t>Machine learning, prosecutorial analytics, judicial analytics, congestion risk, explainable artificial intelligence.</w:t>
      </w:r>
    </w:p>
    <w:p w14:paraId="62C3BACC" w14:textId="77777777" w:rsidR="00000000" w:rsidRDefault="00000000">
      <w:pPr>
        <w:pStyle w:val="Ttulo1"/>
        <w:ind w:firstLine="357"/>
      </w:pPr>
      <w:r>
        <w:t xml:space="preserve">I.  Introducción </w:t>
      </w:r>
    </w:p>
    <w:p w14:paraId="09E1FC9A" w14:textId="77777777" w:rsidR="00000000" w:rsidRDefault="00000000">
      <w:r>
        <w:t>La congestión en los sistemas de justicia representa un desafío para la gestión institucional, ya que incrementa los tiempos de respuesta, dificulta la asignación eficiente de recursos y limita la capacidad operativa de las organizaciones responsables de la administración de justicia. En este contexto, el aprendizaje automático ha surgido como una herramienta prometedora para identificar tempranamente escenarios de alto riesgo operativo y apoyar la planificación basada en evidencia mediante el análisis de registros administrativos.</w:t>
      </w:r>
    </w:p>
    <w:p w14:paraId="3DA46747" w14:textId="77777777" w:rsidR="00000000" w:rsidRDefault="00000000">
      <w:r>
        <w:t>Diversos estudios han aplicado técnicas de aprendizaje automático para predecir congestión judicial, carga de trabajo y desempeño institucional. Sin embargo, la mayoría de las investigaciones evalúa de forma aislada algoritmos predictivos, técnicas de selección de variables o métodos de interpretabilidad, mientras que aspectos como la validación temporal, el control explícito de fuga de información, la integración entre selección robusta de variables e interpretabilidad y la evaluación conjunta de la robustez del modelo continúan siendo poco frecuentes dentro de un mismo flujo metodológico reproducible.</w:t>
      </w:r>
    </w:p>
    <w:p w14:paraId="671AE5A2" w14:textId="77777777" w:rsidR="00000000" w:rsidRDefault="00000000">
      <w:r>
        <w:t>En respuesta a estas limitaciones, este trabajo propone un Marco Metodológico de Consenso, Validación Temporal y Explicabilidad (MCVTE) reproducible de aprendizaje automático para estimar el riesgo proxy de congestión fiscal en el Ministerio Público del Perú, utilizando registros administrativos del periodo 2019–2026. Las principales contribuciones de este trabajo son las siguientes: (i) una estrategia de selección robusta de variables por consenso de seis métodos, precedida por una auditoría explícita de multicolinealidad; (ii) un esquema de validación temporal por bloques de año que previene la fuga de información; (iii) una evaluación conjunta de robustez mediante estudio de ablación y validación no supervisada del espacio de características; y (iv) un análisis de interpretabilidad basado en SHAP, articulado con un análisis de impacto operacional orientado a la priorización preventiva de combinaciones operativas con mayor riesgo estimado. En conjunto, estos elementos integran, dentro de un único flujo metodológico, componentes que la literatura previa aborda de forma aislada.  El resto del artículo se organiza de la siguiente manera. La Sección II presenta el trabajo relacionado; la Sección III describe la metodología; la Sección IV expone los resultados; las Secciones V, VI y VII presentan la discusión, las limitaciones y las conclusiones, respectivamente.</w:t>
      </w:r>
    </w:p>
    <w:p w14:paraId="0DE865B3" w14:textId="77777777" w:rsidR="00000000" w:rsidRDefault="00000000">
      <w:pPr>
        <w:pStyle w:val="Ttulo1"/>
        <w:ind w:firstLine="357"/>
      </w:pPr>
      <w:r>
        <w:t>II. Trabajo Relacionado</w:t>
      </w:r>
    </w:p>
    <w:p w14:paraId="27924272" w14:textId="77777777" w:rsidR="00000000" w:rsidRDefault="00000000">
      <w:pPr>
        <w:pStyle w:val="Ttulo2"/>
        <w:numPr>
          <w:ilvl w:val="1"/>
          <w:numId w:val="2"/>
        </w:numPr>
      </w:pPr>
      <w:r>
        <w:t>A.</w:t>
      </w:r>
      <w:r>
        <w:tab/>
        <w:t>Aprendizaje automático para la predicción de carga judicial y fiscal</w:t>
      </w:r>
    </w:p>
    <w:p w14:paraId="310BCEA8" w14:textId="77777777" w:rsidR="00000000" w:rsidRDefault="00000000">
      <w:r>
        <w:t xml:space="preserve">Las investigaciones previas sobre predicción de duración de casos y retrasos procesales se han concentrado predominantemente en el ámbito judicial, omitiendo la dinámica fiscal. Los estudios recientes han demostrado que el aprendizaje automático puede contribuir a modelar la carga operativa y optimizar el desempeño institucional mediante el análisis de registros administrativos, incluyendo aplicaciones orientadas a la reducción de la congestión judicial, la evaluación de la productividad y el análisis temporal de procesos judiciales </w:t>
      </w:r>
      <w:r>
        <w:fldChar w:fldCharType="begin"/>
      </w:r>
      <w:r>
        <w:instrText xml:space="preserve"> ADDIN ZOTERO_ITEM CSL_CITATION {"citationID":"QpDIzAng","properties":{"unsorted":false,"formattedCitation":"[1]","plainCitation":"[1]","noteIndex":0},"citationItems":[{"id":51,"uris":["http://zotero.org/users/local/0z44BwR0/items/BFRWF9E5"],"itemData":{"id":51,"type":"article-journal","abstract":"This paper investigates court congestion through a field study conducted at the Jerusalem District Court in Israel, aiming to reduce case processing time by adapting successful operational concepts to this unique environment. Using a modified difference-in-differences approach, the study suggests a notable 46.1% reduction in the duration of the treated part of the judicial process, demonstrating the efficacy of operational management tools in alleviating court congestion without compromising process quality or requiring additional resources.\n          , \n            Court congestion is a worldwide phenomenon with negative societal effects such as delayed access to justice and drawn-out procedures, as well as negative economic ramifications. In this paper, we report on a field study conducted in cooperation with the Jerusalem District Court in Israel with the aim of reducing average case processing time within the existing set of resources. To achieve this goal, we analyzed the judicial process using operational concepts that have been successfully implemented in other contexts, and we adapted them to the court process. We further collected data before and after the operational changes were implemented to assess the efficacy of the implementation. We exploited the distinctive structure of the judicial process and the fact that our operational changes targeted one part of that process to propose a variation of the difference-in-differences approach to measure the process improvement. The results suggest that the duration of the treated part of the process was reduced by 46.1% postimplementation. We further examined the effect of the treatment on the quality of the process, measured by appeal rate, and found no adverse effect. These analyses demonstrate the potential of using operational management tools and concepts to improve judicial processes and to contribute to the alleviation of court congestion.","container-title":"INFORMS Journal on Applied Analytics","DOI":"10.1287/inte.2023.0026","ISSN":"2644-0865, 2644-0873","issue":"3","journalAbbreviation":"INFORMS Journal on Applied Analytics","language":"en","page":"267-281","source":"DOI.org (Crossref)","title":"Alleviating Court Congestion: The Case of the Jerusalem District Court","title-short":"Alleviating Court Congestion","URL":"https://pubsonline.informs.org/doi/10.1287/inte.2023.0026","volume":"54","author":[{"family":"Azaria","given":"Shany"},{"family":"Ronen","given":"Boaz"},{"family":"Shamir","given":"Noam"}],"accessed":{"date-parts":[["2026",7,16]]},"issued":{"date-parts":[["2024",5]]}}}],"schema":"https://github.com/citation-style-language/schema/raw/master/csl-citation.json"} </w:instrText>
      </w:r>
      <w:r>
        <w:fldChar w:fldCharType="separate"/>
      </w:r>
      <w:r>
        <w:t>[1]</w:t>
      </w:r>
      <w:r>
        <w:fldChar w:fldCharType="end"/>
      </w:r>
      <w:r>
        <w:t xml:space="preserve">, </w:t>
      </w:r>
      <w:r>
        <w:fldChar w:fldCharType="begin"/>
      </w:r>
      <w:r>
        <w:instrText xml:space="preserve"> ADDIN ZOTERO_ITEM CSL_CITATION {"citationID":"8sFJoPBY","properties":{"unsorted":false,"formattedCitation":"[2]","plainCitation":"[2]","noteIndex":0},"citationItems":[{"id":52,"uris":["http://zotero.org/users/local/0z44BwR0/items/ASLLKMZQ"],"itemData":{"id":52,"type":"article-journal","abstract":"Maintaining the judiciary requires a high level of budgetary expenditure, but the specifics of this relationship have not yet been fully explored. While several studies have examined the impact of spending on the judiciary through measures related to productivity and performance, none have used machine learning techniques. This study examines the productivity of the court system based on expenditures and other variables using machine learning techniques. In the clustering process Brazilian courts are ranked according to their productivity, while in the neural network step it is verified which characteristics are most relevant at the budgetary level related to judicial productivity for each cluster formed in the first step. The final neural network model supports the results of Pearson’s parametric correlation test, which found no significant correlation between expenditure and productivity. The findings from this study demonstrate the importance of understanding that increasing public budget expenditures alone is not sufficient to improve the efficiency of the judicial system. Instead, other administrative measures are necessary to meet the demands of the Brazilian judiciary and improve service delivery rates. These results offer important theoretical and managerial contributions to the field.","container-title":"Mathematics","DOI":"10.3390/math11143195","ISSN":"2227-7390","issue":"14","journalAbbreviation":"Mathematics","language":"en","page":"3195","source":"DOI.org (Crossref)","title":"Analysis of Judiciary Expenditure and Productivity Using Machine Learning Techniques","URL":"https://www.mdpi.com/2227-7390/11/14/3195","volume":"11","author":[{"family":"Vasconcelos","given":"Fernando Freire"},{"family":"Sátiro","given":"Renato Máximo"},{"family":"Fávero","given":"Luiz Paulo Lopes"},{"family":"Bortoloto","given":"Gabriela Troyano"},{"family":"Corrêa","given":"Hamilton Luiz"}],"accessed":{"date-parts":[["2026",7,16]]},"issued":{"date-parts":[["2023",7,21]]}}}],"schema":"https://github.com/citation-style-language/schema/raw/master/csl-citation.json"} </w:instrText>
      </w:r>
      <w:r>
        <w:fldChar w:fldCharType="separate"/>
      </w:r>
      <w:r>
        <w:t>[2]</w:t>
      </w:r>
      <w:r>
        <w:fldChar w:fldCharType="end"/>
      </w:r>
      <w:r>
        <w:t xml:space="preserve">, </w:t>
      </w:r>
      <w:r>
        <w:fldChar w:fldCharType="begin"/>
      </w:r>
      <w:r>
        <w:instrText xml:space="preserve"> ADDIN ZOTERO_ITEM CSL_CITATION {"citationID":"zt9wkPhV","properties":{"unsorted":false,"formattedCitation":"[3]","plainCitation":"[3]","noteIndex":0},"citationItems":[{"id":53,"uris":["http://zotero.org/users/local/0z44BwR0/items/T5H6WSC5"],"itemData":{"id":53,"type":"article-journal","abstract":"Purpose\n              The purpose of this paper is to show how data mining techniques can improve the performance management of the judiciary, helping judges in steering position with specific and timely measures. It explores different approaches to analyse the length of trials, based on the case of an Italian judicial office.\n            \n            \n              Design/methodology/approach\n              The paper presents a temporal analysis to compare the timeliness of trials, using data and process mining approaches with the support of a specific software to represent graphically the results. Data were gathered directly from the office data base, improving precision and the opportunity to monitor specific phases of the trials.\n            \n            \n              Findings\n              The results highlight the progress that can be reached using data mining approaches to develop performance analyses helping courts to correct inefficiencies and to manage the personnel distribution, overcoming the critical comments arisen against traditional KPI (Raine, 2000). The work proposes a methodology to analyse cases deriving from different juridical matters useful to set up a performance monitoring system that could be diffused to different courts.\n            \n            \n              Research limitations/implications\n              The limitations of the research regard the analysis of a selected, limited number of cases in terms of judicial matters.\n            \n            \n              Practical implications\n              Data mining techniques can improve the performance management processes in providing more accurate feedback to the judicial offices leaders and increasing the organisational learning.\n            \n            \n              Social implications\n              The performance of the judiciary is one of the relevant issues that emerged in the recent decade in the field of public sector reforms. Several reasons explain this interest, which has gone beyond the specific legal disciplines to involve public policy, management, economics and ICT studies.\n            \n            \n              Originality/value\n              \n                Considering the literature on the judiciary (Visser\n                et al.\n                , 2019; Di Martino\n                et al.\n                , 2021; Troisi and Alfano, 2023) the contribution differs as both the methodological approach and the predictive analysis considers the intrinsic differences that define cases belonging to different juridical matters performing a cross-sectional analysis, with a specific focus of process variants.","container-title":"International Journal of Public Sector Management","DOI":"10.1108/IJPSM-02-2023-0058","ISSN":"0951-3558","issue":"1","journalAbbreviation":"IJPSM","language":"en","license":"https://www.emerald.com/insight/site-policies","page":"59-76","source":"DOI.org (Crossref)","title":"Improving the analysis of the judiciary performance - the use of data mining techniques to assess the timeliness of civil trials","URL":"http://www.emerald.com/ijpsm/article/37/1/59-76/1235523","volume":"37","author":[{"family":"Pernici","given":"Barbara"},{"family":"Bono","given":"Carlo Alberto"},{"family":"Piro","given":"Ludovica"},{"family":"Del Treste","given":"Mattia"},{"family":"Vecchi","given":"Giancarlo"}],"accessed":{"date-parts":[["2026",7,16]]},"issued":{"date-parts":[["2024",1,2]]}}}],"schema":"https://github.com/citation-style-language/schema/raw/master/csl-citation.json"} </w:instrText>
      </w:r>
      <w:r>
        <w:fldChar w:fldCharType="separate"/>
      </w:r>
      <w:r>
        <w:t>[3]</w:t>
      </w:r>
      <w:r>
        <w:fldChar w:fldCharType="end"/>
      </w:r>
      <w:r>
        <w:t xml:space="preserve">. Mientras algunos trabajos combinan modelos basados en árboles con técnicas de explicabilidad para mejorar la interpretación de las predicciones, otros incorporan minería de procesos y análisis temporal para identificar cuellos de botella, medir la duración de los procedimientos y evaluar el desempeño institucional a partir de datos administrativos </w:t>
      </w:r>
      <w:r>
        <w:fldChar w:fldCharType="begin"/>
      </w:r>
      <w:r>
        <w:instrText xml:space="preserve"> ADDIN ZOTERO_ITEM CSL_CITATION {"citationID":"Tj6eXLHM","properties":{"unsorted":false,"formattedCitation":"[3]","plainCitation":"[3]","noteIndex":0},"citationItems":[{"id":53,"uris":["http://zotero.org/users/local/0z44BwR0/items/T5H6WSC5"],"itemData":{"id":53,"type":"article-journal","abstract":"Purpose\n              The purpose of this paper is to show how data mining techniques can improve the performance management of the judiciary, helping judges in steering position with specific and timely measures. It explores different approaches to analyse the length of trials, based on the case of an Italian judicial office.\n            \n            \n              Design/methodology/approach\n              The paper presents a temporal analysis to compare the timeliness of trials, using data and process mining approaches with the support of a specific software to represent graphically the results. Data were gathered directly from the office data base, improving precision and the opportunity to monitor specific phases of the trials.\n            \n            \n              Findings\n              The results highlight the progress that can be reached using data mining approaches to develop performance analyses helping courts to correct inefficiencies and to manage the personnel distribution, overcoming the critical comments arisen against traditional KPI (Raine, 2000). The work proposes a methodology to analyse cases deriving from different juridical matters useful to set up a performance monitoring system that could be diffused to different courts.\n            \n            \n              Research limitations/implications\n              The limitations of the research regard the analysis of a selected, limited number of cases in terms of judicial matters.\n            \n            \n              Practical implications\n              Data mining techniques can improve the performance management processes in providing more accurate feedback to the judicial offices leaders and increasing the organisational learning.\n            \n            \n              Social implications\n              The performance of the judiciary is one of the relevant issues that emerged in the recent decade in the field of public sector reforms. Several reasons explain this interest, which has gone beyond the specific legal disciplines to involve public policy, management, economics and ICT studies.\n            \n            \n              Originality/value\n              \n                Considering the literature on the judiciary (Visser\n                et al.\n                , 2019; Di Martino\n                et al.\n                , 2021; Troisi and Alfano, 2023) the contribution differs as both the methodological approach and the predictive analysis considers the intrinsic differences that define cases belonging to different juridical matters performing a cross-sectional analysis, with a specific focus of process variants.","container-title":"International Journal of Public Sector Management","DOI":"10.1108/IJPSM-02-2023-0058","ISSN":"0951-3558","issue":"1","journalAbbreviation":"IJPSM","language":"en","license":"https://www.emerald.com/insight/site-policies","page":"59-76","source":"DOI.org (Crossref)","title":"Improving the analysis of the judiciary performance - the use of data mining techniques to assess the timeliness of civil trials","URL":"http://www.emerald.com/ijpsm/article/37/1/59-76/1235523","volume":"37","author":[{"family":"Pernici","given":"Barbara"},{"family":"Bono","given":"Carlo Alberto"},{"family":"Piro","given":"Ludovica"},{"family":"Del Treste","given":"Mattia"},{"family":"Vecchi","given":"Giancarlo"}],"accessed":{"date-parts":[["2026",7,16]]},"issued":{"date-parts":[["2024",1,2]]}}}],"schema":"https://github.com/citation-style-language/schema/raw/master/csl-citation.json"} </w:instrText>
      </w:r>
      <w:r>
        <w:fldChar w:fldCharType="separate"/>
      </w:r>
      <w:r>
        <w:t>[3]</w:t>
      </w:r>
      <w:r>
        <w:fldChar w:fldCharType="end"/>
      </w:r>
      <w:r>
        <w:t xml:space="preserve">, </w:t>
      </w:r>
      <w:r>
        <w:fldChar w:fldCharType="begin"/>
      </w:r>
      <w:r>
        <w:instrText xml:space="preserve"> ADDIN ZOTERO_ITEM CSL_CITATION {"citationID":"k9XsA1Sj","properties":{"unsorted":false,"formattedCitation":"[1]","plainCitation":"[1]","noteIndex":0},"citationItems":[{"id":51,"uris":["http://zotero.org/users/local/0z44BwR0/items/BFRWF9E5"],"itemData":{"id":51,"type":"article-journal","abstract":"This paper investigates court congestion through a field study conducted at the Jerusalem District Court in Israel, aiming to reduce case processing time by adapting successful operational concepts to this unique environment. Using a modified difference-in-differences approach, the study suggests a notable 46.1% reduction in the duration of the treated part of the judicial process, demonstrating the efficacy of operational management tools in alleviating court congestion without compromising process quality or requiring additional resources.\n          , \n            Court congestion is a worldwide phenomenon with negative societal effects such as delayed access to justice and drawn-out procedures, as well as negative economic ramifications. In this paper, we report on a field study conducted in cooperation with the Jerusalem District Court in Israel with the aim of reducing average case processing time within the existing set of resources. To achieve this goal, we analyzed the judicial process using operational concepts that have been successfully implemented in other contexts, and we adapted them to the court process. We further collected data before and after the operational changes were implemented to assess the efficacy of the implementation. We exploited the distinctive structure of the judicial process and the fact that our operational changes targeted one part of that process to propose a variation of the difference-in-differences approach to measure the process improvement. The results suggest that the duration of the treated part of the process was reduced by 46.1% postimplementation. We further examined the effect of the treatment on the quality of the process, measured by appeal rate, and found no adverse effect. These analyses demonstrate the potential of using operational management tools and concepts to improve judicial processes and to contribute to the alleviation of court congestion.","container-title":"INFORMS Journal on Applied Analytics","DOI":"10.1287/inte.2023.0026","ISSN":"2644-0865, 2644-0873","issue":"3","journalAbbreviation":"INFORMS Journal on Applied Analytics","language":"en","page":"267-281","source":"DOI.org (Crossref)","title":"Alleviating Court Congestion: The Case of the Jerusalem District Court","title-short":"Alleviating Court Congestion","URL":"https://pubsonline.informs.org/doi/10.1287/inte.2023.0026","volume":"54","author":[{"family":"Azaria","given":"Shany"},{"family":"Ronen","given":"Boaz"},{"family":"Shamir","given":"Noam"}],"accessed":{"date-parts":[["2026",7,16]]},"issued":{"date-parts":[["2024",5]]}}}],"schema":"https://github.com/citation-style-language/schema/raw/master/csl-citation.json"} </w:instrText>
      </w:r>
      <w:r>
        <w:fldChar w:fldCharType="separate"/>
      </w:r>
      <w:r>
        <w:t>[1]</w:t>
      </w:r>
      <w:r>
        <w:fldChar w:fldCharType="end"/>
      </w:r>
      <w:r>
        <w:t xml:space="preserve">. Aunque ambos enfoques evidencian resultados prometedores, cada uno aborda únicamente una parte del problema y ninguno integra simultáneamente estrategias de validación temporal, </w:t>
      </w:r>
      <w:r>
        <w:lastRenderedPageBreak/>
        <w:t>prevención de fuga de información y selección robusta de variables dentro de un mismo marco metodológico.</w:t>
      </w:r>
    </w:p>
    <w:p w14:paraId="2D03C233" w14:textId="77777777" w:rsidR="00000000" w:rsidRDefault="00000000">
      <w:r>
        <w:t xml:space="preserve">Si bien estos estudios demuestran que los registros administrativos permiten modelar la saturación operativa con resultados prometedores, su alcance metodológico continúa siendo limitado. En particular, se concentran en escenarios judiciales posteriores a la etapa de investigación fiscal, emplean estrategias de modelado específicas para cada contexto y no integran mecanismos para abordar simultáneamente problemas como la selección robusta de variables, la fuga de información y la validación temporal. Estas limitaciones restringen la reproducibilidad y la generalización de los modelos hacia escenarios operativos reales. Esta evolución también se refleja en revisiones recientes, las cuales destacan una transición desde modelos predictivos aislados hacia marcos integrales para la gestión inteligente de sistemas judiciales </w:t>
      </w:r>
      <w:r>
        <w:fldChar w:fldCharType="begin"/>
      </w:r>
      <w:r>
        <w:instrText xml:space="preserve"> ADDIN ZOTERO_ITEM CSL_CITATION {"citationID":"LRxfEaY7","properties":{"unsorted":false,"formattedCitation":"[4]","plainCitation":"[4]","noteIndex":0},"citationItems":[{"id":46,"uris":["http://zotero.org/users/local/0z44BwR0/items/LKFYH7FS"],"itemData":{"id":46,"type":"chapter","container-title":"Intelligence-Driven Circular Economy","DOI":"10.1007/978-3-031-74220-0_50","ISBN":"978-3-031-74219-4","language":"en","note":"collection-title: Studies in Computational Intelligence","page":"641-649","publisher":"Springer Nature Switzerland","publisher-place":"Cham","source":"DOI.org (Crossref)","title":"Artificial Intelligence and the Law: The Complexities of Technology and Legalities","title-short":"Artificial Intelligence and the Law","URL":"https://link.springer.com/10.1007/978-3-031-74220-0_50","volume":"1174","editor":[{"family":"Hannoon","given":"Azzam"},{"family":"Mahmood","given":"Abdullah"}],"author":[{"family":"Alhalalmeh","given":"Al-Hareth"},{"family":"Al-Tarawneh","given":"Alalddin"}],"accessed":{"date-parts":[["2026",7,16]]},"issued":{"date-parts":[["2025"]]}}}],"schema":"https://github.com/citation-style-language/schema/raw/master/csl-citation.json"} </w:instrText>
      </w:r>
      <w:r>
        <w:fldChar w:fldCharType="separate"/>
      </w:r>
      <w:r>
        <w:t>[4]</w:t>
      </w:r>
      <w:r>
        <w:fldChar w:fldCharType="end"/>
      </w:r>
      <w:r>
        <w:t>.</w:t>
      </w:r>
    </w:p>
    <w:p w14:paraId="043DD6BA" w14:textId="77777777" w:rsidR="00000000" w:rsidRDefault="00000000">
      <w:r>
        <w:t>En conjunto, la literatura evidencia que el principal desafío ya no radica únicamente en aplicar algoritmos predictivos al ámbito judicial, sino en integrar dentro de un mismo marco metodológico mecanismos de selección robusta de variables, prevención explícita de fuga de información, validación temporal y explicabilidad para garantizar modelos reproducibles y transferibles a escenarios operativos reales. En este contexto, la presente investigación propone un framework que integra estos componentes de forma unificada en el dominio prosecutorial.</w:t>
      </w:r>
    </w:p>
    <w:p w14:paraId="536359E3" w14:textId="77777777" w:rsidR="00000000" w:rsidRDefault="00000000">
      <w:pPr>
        <w:pStyle w:val="Ttulo2"/>
        <w:numPr>
          <w:ilvl w:val="1"/>
          <w:numId w:val="2"/>
        </w:numPr>
      </w:pPr>
      <w:r>
        <w:t>B.</w:t>
      </w:r>
      <w:r>
        <w:tab/>
        <w:t>Selección de variables: enfoques de filtro, envoltura, embebidos y de conjunto (ensemble)</w:t>
      </w:r>
    </w:p>
    <w:p w14:paraId="257C3BC6" w14:textId="77777777" w:rsidR="00000000" w:rsidRDefault="00000000">
      <w:r>
        <w:t xml:space="preserve">Entre los componentes metodológicos más relevantes para construir modelos predictivos robustos, la selección de variables ha adquirido un papel central debido a su impacto sobre la estabilidad, interpretabilidad y capacidad de generalización de los clasificadores. En contraste, los métodos de envoltura exploran dichas interacciones utilizando el desempeño predictivo del clasificador, pero requieren un mayor costo computacional </w:t>
      </w:r>
      <w:r>
        <w:fldChar w:fldCharType="begin"/>
      </w:r>
      <w:r>
        <w:instrText xml:space="preserve"> ADDIN ZOTERO_ITEM CSL_CITATION {"citationID":"RilQ8mWX","properties":{"unsorted":false,"formattedCitation":"[5]","plainCitation":"[5]","noteIndex":0},"citationItems":[{"id":55,"uris":["http://zotero.org/users/local/0z44BwR0/items/U2WZJDA6"],"itemData":{"id":55,"type":"article-journal","container-title":"Information Sciences","DOI":"10.1016/j.ins.2024.121084","ISSN":"00200255","journalAbbreviation":"Information Sciences","language":"en","page":"121084","source":"DOI.org (Crossref)","title":"An efficient ensemble learning method based on multi-objective feature selection","URL":"https://linkinghub.elsevier.com/retrieve/pii/S0020025524009988","volume":"679","author":[{"family":"Zhou","given":"Xiaojun"},{"family":"Yuan","given":"Weijun"},{"family":"Gao","given":"Qian"},{"family":"Yang","given":"Chunhua"}],"accessed":{"date-parts":[["2026",7,16]]},"issued":{"date-parts":[["2024",9]]}}}],"schema":"https://github.com/citation-style-language/schema/raw/master/csl-citation.json"} </w:instrText>
      </w:r>
      <w:r>
        <w:fldChar w:fldCharType="separate"/>
      </w:r>
      <w:r>
        <w:t>[5]</w:t>
      </w:r>
      <w:r>
        <w:fldChar w:fldCharType="end"/>
      </w:r>
      <w:r>
        <w:t xml:space="preserve">. Los métodos embebidos equilibran ambos aspectos al incorporar la selección durante el entrenamiento del modelo; sin embargo, su desempeño continúa dependiendo del algoritmo utilizado. Estas diferencias han motivado el desarrollo de estrategias de selección por consenso que buscan combinar las fortalezas de múltiples enfoques y reducir la variabilidad del subconjunto final de variables </w:t>
      </w:r>
      <w:r>
        <w:fldChar w:fldCharType="begin"/>
      </w:r>
      <w:r>
        <w:instrText xml:space="preserve"> ADDIN ZOTERO_ITEM CSL_CITATION {"citationID":"G0rPQ59c","properties":{"unsorted":false,"formattedCitation":"[6]","plainCitation":"[6]","noteIndex":0},"citationItems":[{"id":56,"uris":["http://zotero.org/users/local/0z44BwR0/items/RGQH426I"],"itemData":{"id":56,"type":"article-journal","container-title":"Engineering Applications of Artificial Intelligence","DOI":"10.1016/j.engappai.2023.107136","ISSN":"09521976","journalAbbreviation":"Engineering Applications of Artificial Intelligence","language":"en","page":"107136","source":"DOI.org (Crossref)","title":"A tutorial-based survey on feature selection: Recent advancements on feature selection","title-short":"A tutorial-based survey on feature selection","URL":"https://linkinghub.elsevier.com/retrieve/pii/S0952197623013209","volume":"126","author":[{"family":"Moslemi","given":"Amir"}],"accessed":{"date-parts":[["2026",7,16]]},"issued":{"date-parts":[["2023",11]]}}}],"schema":"https://github.com/citation-style-language/schema/raw/master/csl-citation.json"} </w:instrText>
      </w:r>
      <w:r>
        <w:fldChar w:fldCharType="separate"/>
      </w:r>
      <w:r>
        <w:t>[6]</w:t>
      </w:r>
      <w:r>
        <w:fldChar w:fldCharType="end"/>
      </w:r>
      <w:r>
        <w:t xml:space="preserve">. Por su parte, los selectores embebidos de tipo all-relevant, como el algoritmo Boruta, contrastan la importancia de cada variable contra copias aleatorizadas (shadow features) mediante un Random Forest, proveyendo una prueba de relevancia con respaldo estadístico en lugar de un subconjunto mínimo-óptimo </w:t>
      </w:r>
      <w:r>
        <w:fldChar w:fldCharType="begin"/>
      </w:r>
      <w:r>
        <w:instrText xml:space="preserve"> ADDIN ZOTERO_ITEM CSL_CITATION {"citationID":"q4nEv4mx","properties":{"unsorted":false,"formattedCitation":"[7]","plainCitation":"[7]","noteIndex":0},"citationItems":[{"id":38,"uris":["http://zotero.org/users/local/0z44BwR0/items/ADXPD44F"],"itemData":{"id":38,"type":"article-journal","container-title":"Journal of Statistical Software","DOI":"10.18637/jss.v036.i11","issue":"11","title":"Feature Selection with theBorutaPackage","URL":"https://doi.org/10.18637/jss.v036.i11","volume":"36","author":[{"family":"Kursa","given":"Miron B."},{"family":"Rudnicki","given":"Witold R."}],"issued":{"date-parts":[["2010",1]]}}}],"schema":"https://github.com/citation-style-language/schema/raw/master/csl-citation.json"} </w:instrText>
      </w:r>
      <w:r>
        <w:fldChar w:fldCharType="separate"/>
      </w:r>
      <w:r>
        <w:t>[7]</w:t>
      </w:r>
      <w:r>
        <w:fldChar w:fldCharType="end"/>
      </w:r>
      <w:r>
        <w:t>.</w:t>
      </w:r>
    </w:p>
    <w:p w14:paraId="2A0DDA65" w14:textId="77777777" w:rsidR="00000000" w:rsidRDefault="00000000">
      <w:r>
        <w:t>Debido a que los selectores individuales suelen producir resultados diferentes frente a variables altamente correlacionadas, su utilización aislada puede generar subconjuntos inestables y dependientes del algoritmo seleccionado. Como consecuencia, la selección por conjunto (</w:t>
      </w:r>
      <w:r>
        <w:rPr>
          <w:i/>
          <w:iCs/>
        </w:rPr>
        <w:t>ensemble feature selection</w:t>
      </w:r>
      <w:r>
        <w:t xml:space="preserve">) ha surgido como una alternativa para incrementar la robustez y estabilidad del proceso mediante la agregación de múltiples criterios de selección </w:t>
      </w:r>
      <w:r>
        <w:fldChar w:fldCharType="begin"/>
      </w:r>
      <w:r>
        <w:instrText xml:space="preserve"> ADDIN ZOTERO_ITEM CSL_CITATION {"citationID":"KqvhppLM","properties":{"unsorted":false,"formattedCitation":"[5]","plainCitation":"[5]","noteIndex":0},"citationItems":[{"id":55,"uris":["http://zotero.org/users/local/0z44BwR0/items/U2WZJDA6"],"itemData":{"id":55,"type":"article-journal","container-title":"Information Sciences","DOI":"10.1016/j.ins.2024.121084","ISSN":"00200255","journalAbbreviation":"Information Sciences","language":"en","page":"121084","source":"DOI.org (Crossref)","title":"An efficient ensemble learning method based on multi-objective feature selection","URL":"https://linkinghub.elsevier.com/retrieve/pii/S0020025524009988","volume":"679","author":[{"family":"Zhou","given":"Xiaojun"},{"family":"Yuan","given":"Weijun"},{"family":"Gao","given":"Qian"},{"family":"Yang","given":"Chunhua"}],"accessed":{"date-parts":[["2026",7,16]]},"issued":{"date-parts":[["2024",9]]}}}],"schema":"https://github.com/citation-style-language/schema/raw/master/csl-citation.json"} </w:instrText>
      </w:r>
      <w:r>
        <w:fldChar w:fldCharType="separate"/>
      </w:r>
      <w:r>
        <w:t>[5]</w:t>
      </w:r>
      <w:r>
        <w:fldChar w:fldCharType="end"/>
      </w:r>
      <w:r>
        <w:t>.</w:t>
      </w:r>
    </w:p>
    <w:p w14:paraId="708028C2" w14:textId="77777777" w:rsidR="00000000" w:rsidRDefault="00000000">
      <w:r>
        <w:t>Bajo esta perspectiva, el presente framework implementa un consenso basado en seis métodos complementarios —dos de filtro (MI y ANOVA), un filtro para variables categóricas (χ²), un método embebido (Random Forest) y dos métodos de envoltura (Boruta y RFECV)— con el propósito de combinar fortalezas metodológicas y reducir la dependencia de un único algoritmo de selección. Este proceso es precedido por una auditoría explícita de multicolinealidad mediante los coeficientes de Pearson y V de Cramér.</w:t>
      </w:r>
    </w:p>
    <w:p w14:paraId="7FA89308" w14:textId="77777777" w:rsidR="00000000" w:rsidRDefault="00000000">
      <w:r>
        <w:t>Aunque diversos estudios han propuesto estrategias individuales de selección de variables, la literatura todavía reporta escasa integración entre auditorías de calidad del espacio de características, selección por consenso y evaluación mediante modelos explicables dentro de un flujo metodológico reproducible. La estrategia adoptada en este trabajo responde precisamente a esa necesidad de integrar enfoques complementarios en una única etapa de selección robusta de variables.</w:t>
      </w:r>
    </w:p>
    <w:p w14:paraId="011DA427" w14:textId="77777777" w:rsidR="00000000" w:rsidRDefault="00000000">
      <w:pPr>
        <w:pStyle w:val="Ttulo2"/>
        <w:numPr>
          <w:ilvl w:val="1"/>
          <w:numId w:val="2"/>
        </w:numPr>
      </w:pPr>
      <w:r>
        <w:t>C.</w:t>
      </w:r>
      <w:r>
        <w:tab/>
        <w:t>Desbalance de clases, fuga de datos (data leakage) y validación temporal</w:t>
      </w:r>
    </w:p>
    <w:p w14:paraId="692F2496" w14:textId="77777777" w:rsidR="00000000" w:rsidRDefault="00000000">
      <w:r>
        <w:t xml:space="preserve">Las tareas de clasificación de riesgo sobre matrices administrativas suelen exhibir un marcado desbalance de clases, lo que motiva el despliegue de técnicas de remuestreo como SMOTE, el cual genera instancias sintéticas de la clase minoritaria mediante interpolación lineal en el espacio de características </w:t>
      </w:r>
      <w:r>
        <w:fldChar w:fldCharType="begin"/>
      </w:r>
      <w:r>
        <w:instrText xml:space="preserve"> ADDIN ZOTERO_ITEM CSL_CITATION {"citationID":"pVsaOTTI","properties":{"unsorted":false,"formattedCitation":"[8]","plainCitation":"[8]","noteIndex":0},"citationItems":[{"id":40,"uris":["http://zotero.org/users/local/0z44BwR0/items/462VCJPK"],"itemData":{"id":40,"type":"article-journal","container-title":"Journal of Artificial Intelligence Research","DOI":"10.1613/jair.953","page":"321–357","title":"SMOTE: Synthetic Minority Over-sampling technique","URL":"https://doi.org/10.1613/jair.953","volume":"16","author":[{"family":"Chawla","given":"N. V."},{"family":"Bowyer","given":"K. W."},{"family":"Hall","given":"L. O."},{"family":"Kegelmeyer","given":"W. P."}],"issued":{"date-parts":[["2002",6]]}}}],"schema":"https://github.com/citation-style-language/schema/raw/master/csl-citation.json"} </w:instrText>
      </w:r>
      <w:r>
        <w:fldChar w:fldCharType="separate"/>
      </w:r>
      <w:r>
        <w:t>[8]</w:t>
      </w:r>
      <w:r>
        <w:fldChar w:fldCharType="end"/>
      </w:r>
      <w:r>
        <w:t xml:space="preserve">. El presente framework evita el remuestreo sintético, optando por ponderación de clases en los modelos compatibles (Sección III.D.2), dado que la asimetría observada (86%/14%) no requería una expansión artificial del espacio muestral. No obstante, una preocupación crítica y frecuentemente desatendida en este ámbito es la fuga de datos (data leakage); de hecho, revisiones sistemáticas confirman que este fallo metodológico compromete la validez de cientos de artículos de aprendizaje automático en múltiples disciplinas, inducido comúnmente por el cálculo de estadísticas de preprocesamiento sobre el total del repositorio antes de la partición </w:t>
      </w:r>
      <w:r>
        <w:fldChar w:fldCharType="begin"/>
      </w:r>
      <w:r>
        <w:instrText xml:space="preserve"> ADDIN ZOTERO_ITEM CSL_CITATION {"citationID":"twdwQlUX","properties":{"unsorted":false,"formattedCitation":"[9]","plainCitation":"[9]","noteIndex":0},"citationItems":[{"id":41,"uris":["http://zotero.org/users/local/0z44BwR0/items/J6A9GNPX"],"itemData":{"id":41,"type":"article-journal","container-title":"Patterns","DOI":"10.1016/j.patter.2023.100804","issue":"9","page":"100804","title":"Leakage and the reproducibility crisis in machine-learning-based science","URL":"https://doi.org/10.1016/j.patter.2023.100804","volume":"4","author":[{"family":"Kapoor","given":"Sayash"},{"family":"Narayanan","given":"Arvind"}],"issued":{"date-parts":[["2023",8]]}}}],"schema":"https://github.com/citation-style-language/schema/raw/master/csl-citation.json"} </w:instrText>
      </w:r>
      <w:r>
        <w:fldChar w:fldCharType="separate"/>
      </w:r>
      <w:r>
        <w:t>[9]</w:t>
      </w:r>
      <w:r>
        <w:fldChar w:fldCharType="end"/>
      </w:r>
      <w:r>
        <w:t>.</w:t>
      </w:r>
    </w:p>
    <w:p w14:paraId="509B8614" w14:textId="77777777" w:rsidR="00000000" w:rsidRDefault="00000000">
      <w:r>
        <w:t xml:space="preserve">La validación temporal y el aislamiento del preprocesamiento al conjunto de entrenamiento son ampliamente recomendados para evitar fuga de información y garantizar una evaluación reproducible </w:t>
      </w:r>
      <w:r>
        <w:fldChar w:fldCharType="begin"/>
      </w:r>
      <w:r>
        <w:instrText xml:space="preserve"> ADDIN ZOTERO_ITEM CSL_CITATION {"citationID":"tnTNLUMg","properties":{"unsorted":false,"formattedCitation":"[9], [10]","plainCitation":"[9], [10]","noteIndex":0},"citationItems":[{"id":41,"uris":["http://zotero.org/users/local/0z44BwR0/items/J6A9GNPX"],"itemData":{"id":41,"type":"article-journal","container-title":"Patterns","DOI":"10.1016/j.patter.2023.100804","issue":"9","page":"100804","title":"Leakage and the reproducibility crisis in machine-learning-based science","URL":"https://doi.org/10.1016/j.patter.2023.100804","volume":"4","author":[{"family":"Kapoor","given":"Sayash"},{"family":"Narayanan","given":"Arvind"}],"issued":{"date-parts":[["2023",8]]}}},{"id":57,"uris":["http://zotero.org/users/local/0z44BwR0/items/SHSEKS2U"],"itemData":{"id":57,"type":"article","abstract":"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pipelines.","DOI":"10.48550/ARXIV.2311.04179","license":"arXiv.org perpetual, non-exclusive license","note":"version: 2","publisher":"arXiv","source":"DOI.org (Datacite)","title":"On Leakage in Machine Learning Pipelines","URL":"https://arxiv.org/abs/2311.04179","author":[{"family":"Sasse","given":"Leonard"},{"family":"Nicolaisen-Sobesky","given":"Eliana"},{"family":"Dukart","given":"Juergen"},{"family":"Eickhoff","given":"Simon B."},{"family":"Götz","given":"Michael"},{"family":"Hamdan","given":"Sami"},{"family":"Komeyer","given":"Vera"},{"family":"Kulkarni","given":"Abhijit"},{"family":"Lahnakoski","given":"Juha"},{"family":"Love","given":"Bradley C."},{"family":"Raimondo","given":"Federico"},{"family":"Patil","given":"Kaustubh R."}],"accessed":{"date-parts":[["2026",7,16]]},"issued":{"date-parts":[["2023"]]}}}],"schema":"https://github.com/citation-style-language/schema/raw/master/csl-citation.json"} </w:instrText>
      </w:r>
      <w:r>
        <w:fldChar w:fldCharType="separate"/>
      </w:r>
      <w:r>
        <w:t>[9], [10]</w:t>
      </w:r>
      <w:r>
        <w:fldChar w:fldCharType="end"/>
      </w:r>
      <w:r>
        <w:t xml:space="preserve">; omitir estas prácticas puede conducir a estimaciones excesivamente optimistas del desempeño y limitar la reproducibilidad de los resultados </w:t>
      </w:r>
      <w:r>
        <w:fldChar w:fldCharType="begin"/>
      </w:r>
      <w:r>
        <w:instrText xml:space="preserve"> ADDIN ZOTERO_ITEM CSL_CITATION {"citationID":"CWudtvFu","properties":{"unsorted":false,"formattedCitation":"[11]","plainCitation":"[11]","noteIndex":0},"citationItems":[{"id":59,"uris":["http://zotero.org/users/local/0z44BwR0/items/FXGJIPBM"],"itemData":{"id":59,"type":"article","abstract":"The fast-paced development of machine learning (ML) methods coupled with its increasing adoption in research poses challenges for researchers without extensive training in ML. In neuroscience, for example, ML can help understand brain-behavior relationships, diagnose diseases, and develop biomarkers using various data sources like magnetic resonance imaging and electroencephalography. The primary objective of ML is to build models that can make accurate predictions on unseen data. Researchers aim to prove the existence of such generalizable models by evaluating performance using techniques such as cross-validation (CV), which uses systematic subsampling to estimate the generalization performance. Choosing a CV scheme and evaluating an ML pipeline can be challenging and, if used improperly, can lead to overestimated results and incorrect interpretations. We created julearn, an open-source Python library, that allow researchers to design and evaluate complex ML pipelines without encountering in common pitfalls. In this manuscript, we present the rationale behind julearn's design, its core features, and showcase three examples of previously-published research projects that can be easily implemented using this novel library. Julearn aims to simplify the entry into the ML world by providing an easy-to-use environment with built in guards against some of the most common ML pitfalls. With its design, unique features and simple interface, it poses as a useful Python-based library for research projects.","DOI":"10.48550/ARXIV.2310.12568","license":"Creative Commons Attribution Share Alike 4.0 International","note":"version: 1","publisher":"arXiv","source":"DOI.org (Datacite)","title":"Julearn: an easy-to-use library for leakage-free evaluation and inspection of ML models","title-short":"Julearn","URL":"https://arxiv.org/abs/2310.12568","author":[{"family":"Hamdan","given":"Sami"},{"family":"More","given":"Shammi"},{"family":"Sasse","given":"Leonard"},{"family":"Komeyer","given":"Vera"},{"family":"Patil","given":"Kaustubh R."},{"family":"Raimondo","given":"Federico"}],"accessed":{"date-parts":[["2026",7,16]]},"issued":{"date-parts":[["2023"]]}}}],"schema":"https://github.com/citation-style-language/schema/raw/master/csl-citation.json"} </w:instrText>
      </w:r>
      <w:r>
        <w:fldChar w:fldCharType="separate"/>
      </w:r>
      <w:r>
        <w:t>[11]</w:t>
      </w:r>
      <w:r>
        <w:fldChar w:fldCharType="end"/>
      </w:r>
      <w:r>
        <w:t xml:space="preserve">. En respuesta, estudios recientes proponen protocolos de evaluación libre de fuga de información como práctica estándar </w:t>
      </w:r>
      <w:r>
        <w:fldChar w:fldCharType="begin"/>
      </w:r>
      <w:r>
        <w:instrText xml:space="preserve"> ADDIN ZOTERO_ITEM CSL_CITATION {"citationID":"VsKO7N4R","properties":{"unsorted":false,"formattedCitation":"[11]","plainCitation":"[11]","noteIndex":0},"citationItems":[{"id":59,"uris":["http://zotero.org/users/local/0z44BwR0/items/FXGJIPBM"],"itemData":{"id":59,"type":"article","abstract":"The fast-paced development of machine learning (ML) methods coupled with its increasing adoption in research poses challenges for researchers without extensive training in ML. In neuroscience, for example, ML can help understand brain-behavior relationships, diagnose diseases, and develop biomarkers using various data sources like magnetic resonance imaging and electroencephalography. The primary objective of ML is to build models that can make accurate predictions on unseen data. Researchers aim to prove the existence of such generalizable models by evaluating performance using techniques such as cross-validation (CV), which uses systematic subsampling to estimate the generalization performance. Choosing a CV scheme and evaluating an ML pipeline can be challenging and, if used improperly, can lead to overestimated results and incorrect interpretations. We created julearn, an open-source Python library, that allow researchers to design and evaluate complex ML pipelines without encountering in common pitfalls. In this manuscript, we present the rationale behind julearn's design, its core features, and showcase three examples of previously-published research projects that can be easily implemented using this novel library. Julearn aims to simplify the entry into the ML world by providing an easy-to-use environment with built in guards against some of the most common ML pitfalls. With its design, unique features and simple interface, it poses as a useful Python-based library for research projects.","DOI":"10.48550/ARXIV.2310.12568","license":"Creative Commons Attribution Share Alike 4.0 International","note":"version: 1","publisher":"arXiv","source":"DOI.org (Datacite)","title":"Julearn: an easy-to-use library for leakage-free evaluation and inspection of ML models","title-short":"Julearn","URL":"https://arxiv.org/abs/2310.12568","author":[{"family":"Hamdan","given":"Sami"},{"family":"More","given":"Shammi"},{"family":"Sasse","given":"Leonard"},{"family":"Komeyer","given":"Vera"},{"family":"Patil","given":"Kaustubh R."},{"family":"Raimondo","given":"Federico"}],"accessed":{"date-parts":[["2026",7,16]]},"issued":{"date-parts":[["2023"]]}}}],"schema":"https://github.com/citation-style-language/schema/raw/master/csl-citation.json"} </w:instrText>
      </w:r>
      <w:r>
        <w:fldChar w:fldCharType="separate"/>
      </w:r>
      <w:r>
        <w:t>[11]</w:t>
      </w:r>
      <w:r>
        <w:fldChar w:fldCharType="end"/>
      </w:r>
      <w:r>
        <w:t>, enfoque que este framework adopta de forma estricta mediante el cómputo aislado de todos los parámetros de preprocesamiento sobre el bloque de entrenamiento (Sección III.B.1).</w:t>
      </w:r>
    </w:p>
    <w:p w14:paraId="79738EAB" w14:textId="77777777" w:rsidR="00000000" w:rsidRDefault="00000000">
      <w:pPr>
        <w:pStyle w:val="Ttulo2"/>
        <w:numPr>
          <w:ilvl w:val="1"/>
          <w:numId w:val="2"/>
        </w:numPr>
      </w:pPr>
      <w:r>
        <w:t>D.</w:t>
      </w:r>
      <w:r>
        <w:tab/>
        <w:t>Explicabilidad e IA responsable en predicción de riesgo en contextos judiciales</w:t>
      </w:r>
    </w:p>
    <w:p w14:paraId="61353B6B" w14:textId="77777777" w:rsidR="00000000" w:rsidRDefault="00000000">
      <w:r>
        <w:t xml:space="preserve">La literatura reciente coincide en que la interpretabilidad constituye un requisito indispensable para la adopción de modelos predictivos en contextos judiciales </w:t>
      </w:r>
      <w:r>
        <w:fldChar w:fldCharType="begin"/>
      </w:r>
      <w:r>
        <w:instrText xml:space="preserve"> ADDIN ZOTERO_ITEM CSL_CITATION {"citationID":"93AfYa7l","properties":{"unsorted":false,"formattedCitation":"[12]","plainCitation":"[12]","noteIndex":0},"citationItems":[{"id":47,"uris":["http://zotero.org/users/local/0z44BwR0/items/XBHYEBCT"],"itemData":{"id":47,"type":"article-journal","abstract":"Abstract\n            Decisions made by legal adjudicators and administrative decision-makers often found upon a reservoir of stored experiences, from which is drawn a tacit body of expert knowledge. Such expertise may be implicit and opaque, even to the decision-makers themselves, and generates obstacles when implementing AI for automated decision-making tasks within the legal field, since, to the extent that AI-powered decision-making tools must found upon a stock of domain expertise, opacities may proliferate. This raises particular issues within the legal domain, which requires a high level of accountability, thus transparency. This requires enhanced explainability, which entails that a heterogeneous body of stakeholders understand the mechanism underlying the algorithm to the extent that an explanation can be furnished. However, the “black-box” nature of some AI variants, such as deep learning, remains unresolved, and many machine decisions therefore remain poorly understood. This survey paper, based upon a unique interdisciplinary collaboration between legal and AI experts, provides a review of the explainability spectrum, as informed by a systematic survey of relevant research papers, and categorises the results. The article establishes a novel taxonomy, linking the differing forms of legal inference at play within particular legal sub-domains to specific forms of algorithmic decision-making. The diverse categories demonstrate different dimensions in explainable AI (XAI) research. Thus, the survey departs from the preceding monolithic approach to legal reasoning and decision-making by incorporating heterogeneity in legal logics: a feature which requires elaboration, and should be accounted for when designing AI-driven decision-making systems for the legal field. It is thereby hoped that administrative decision-makers, court adjudicators, researchers, and practitioners can gain unique insights into explainability, and utilise the survey as the basis for further research within the field.","container-title":"Digital Society","DOI":"10.1007/s44206-023-00081-z","ISSN":"2731-4650, 2731-4669","issue":"1","journalAbbreviation":"DISO","language":"en","page":"1","source":"DOI.org (Crossref)","title":"Explainable AI and Law: An Evidential Survey","title-short":"Explainable AI and Law","URL":"https://link.springer.com/10.1007/s44206-023-00081-z","volume":"3","author":[{"family":"Richmond","given":"Karen McGregor"},{"family":"Muddamsetty","given":"Satya M."},{"family":"Gammeltoft-Hansen","given":"Thomas"},{"family":"Olsen","given":"Henrik Palmer"},{"family":"Moeslund","given":"Thomas B."}],"accessed":{"date-parts":[["2026",7,16]]},"issued":{"date-parts":[["2024",5]]}}}],"schema":"https://github.com/citation-style-language/schema/raw/master/csl-citation.json"} </w:instrText>
      </w:r>
      <w:r>
        <w:fldChar w:fldCharType="separate"/>
      </w:r>
      <w:r>
        <w:t>[12]</w:t>
      </w:r>
      <w:r>
        <w:fldChar w:fldCharType="end"/>
      </w:r>
      <w:r>
        <w:t xml:space="preserve">; sin embargo, los enfoques existentes difieren en su objetivo particularmente </w:t>
      </w:r>
      <w:r>
        <w:lastRenderedPageBreak/>
        <w:t xml:space="preserve">en aplicaciones jurídicas donde las explicaciones deben ser comprensibles para diferentes actores institucionales </w:t>
      </w:r>
      <w:r>
        <w:fldChar w:fldCharType="begin"/>
      </w:r>
      <w:r>
        <w:instrText xml:space="preserve"> ADDIN ZOTERO_ITEM CSL_CITATION {"citationID":"Jaf2Jh32","properties":{"unsorted":false,"formattedCitation":"[12]","plainCitation":"[12]","noteIndex":0},"citationItems":[{"id":47,"uris":["http://zotero.org/users/local/0z44BwR0/items/XBHYEBCT"],"itemData":{"id":47,"type":"article-journal","abstract":"Abstract\n            Decisions made by legal adjudicators and administrative decision-makers often found upon a reservoir of stored experiences, from which is drawn a tacit body of expert knowledge. Such expertise may be implicit and opaque, even to the decision-makers themselves, and generates obstacles when implementing AI for automated decision-making tasks within the legal field, since, to the extent that AI-powered decision-making tools must found upon a stock of domain expertise, opacities may proliferate. This raises particular issues within the legal domain, which requires a high level of accountability, thus transparency. This requires enhanced explainability, which entails that a heterogeneous body of stakeholders understand the mechanism underlying the algorithm to the extent that an explanation can be furnished. However, the “black-box” nature of some AI variants, such as deep learning, remains unresolved, and many machine decisions therefore remain poorly understood. This survey paper, based upon a unique interdisciplinary collaboration between legal and AI experts, provides a review of the explainability spectrum, as informed by a systematic survey of relevant research papers, and categorises the results. The article establishes a novel taxonomy, linking the differing forms of legal inference at play within particular legal sub-domains to specific forms of algorithmic decision-making. The diverse categories demonstrate different dimensions in explainable AI (XAI) research. Thus, the survey departs from the preceding monolithic approach to legal reasoning and decision-making by incorporating heterogeneity in legal logics: a feature which requires elaboration, and should be accounted for when designing AI-driven decision-making systems for the legal field. It is thereby hoped that administrative decision-makers, court adjudicators, researchers, and practitioners can gain unique insights into explainability, and utilise the survey as the basis for further research within the field.","container-title":"Digital Society","DOI":"10.1007/s44206-023-00081-z","ISSN":"2731-4650, 2731-4669","issue":"1","journalAbbreviation":"DISO","language":"en","page":"1","source":"DOI.org (Crossref)","title":"Explainable AI and Law: An Evidential Survey","title-short":"Explainable AI and Law","URL":"https://link.springer.com/10.1007/s44206-023-00081-z","volume":"3","author":[{"family":"Richmond","given":"Karen McGregor"},{"family":"Muddamsetty","given":"Satya M."},{"family":"Gammeltoft-Hansen","given":"Thomas"},{"family":"Olsen","given":"Henrik Palmer"},{"family":"Moeslund","given":"Thomas B."}],"accessed":{"date-parts":[["2026",7,16]]},"issued":{"date-parts":[["2024",5]]}}}],"schema":"https://github.com/citation-style-language/schema/raw/master/csl-citation.json"} </w:instrText>
      </w:r>
      <w:r>
        <w:fldChar w:fldCharType="separate"/>
      </w:r>
      <w:r>
        <w:t>[12]</w:t>
      </w:r>
      <w:r>
        <w:fldChar w:fldCharType="end"/>
      </w:r>
      <w:r>
        <w:t>.</w:t>
      </w:r>
    </w:p>
    <w:p w14:paraId="5235571B" w14:textId="77777777" w:rsidR="00000000" w:rsidRDefault="00000000">
      <w:r>
        <w:t xml:space="preserve">Mientras herramientas como SHAP buscan explicar el comportamiento interno de modelos complejos mediante atribuciones locales y globales, en línea con revisiones sistemáticas recientes sobre Explainable AI </w:t>
      </w:r>
      <w:r>
        <w:fldChar w:fldCharType="begin"/>
      </w:r>
      <w:r>
        <w:instrText xml:space="preserve"> ADDIN ZOTERO_ITEM CSL_CITATION {"citationID":"IB8lUXrh","properties":{"unsorted":false,"formattedCitation":"[13]","plainCitation":"[13]","noteIndex":0},"citationItems":[{"id":63,"uris":["http://zotero.org/users/local/0z44BwR0/items/L8SU2VTX"],"itemData":{"id":63,"type":"article-journal","abstract":"This systematic literature review employs the Preferred Reporting Items for Systematic Reviews and Meta-Analyses (PRISMA) methodology to investigate recent applications of explainable AI (XAI) over the past three years. From an initial pool of 664 articles identified through the Web of Science database, 512 peer-reviewed journal articles met the inclusion criteria—namely, being recent, high-quality XAI application articles published in English—and were analyzed in detail. Both qualitative and quantitative statistical techniques were used to analyze the identified articles: qualitatively by summarizing the characteristics of the included studies based on predefined codes, and quantitatively through statistical analysis of the data. These articles were categorized according to their application domains, techniques, and evaluation methods. Health-related applications were particularly prevalent, with a strong focus on cancer diagnosis, COVID-19 management, and medical imaging. Other significant areas of application included environmental and agricultural management, industrial optimization, cybersecurity, finance, transportation, and entertainment. Additionally, emerging applications in law, education, and social care highlight XAI’s expanding impact. The review reveals a predominant use of local explanation methods, particularly SHAP and LIME, with SHAP being favored for its stability and mathematical guarantees. However, a critical gap in the evaluation of XAI results is identified, as most studies rely on anecdotal evidence or expert opinion rather than robust quantitative metrics. This underscores the urgent need for standardized evaluation frameworks to ensure the reliability and effectiveness of XAI applications. Future research should focus on developing comprehensive evaluation standards and improving the interpretability and stability of explanations. These advancements are essential for addressing the diverse demands of various application domains while ensuring trust and transparency in AI systems.","container-title":"Applied Sciences","DOI":"10.3390/app14198884","ISSN":"2076-3417","issue":"19","journalAbbreviation":"Applied Sciences","language":"en","page":"8884","source":"DOI.org (Crossref)","title":"Recent Applications of Explainable AI (XAI): A Systematic Literature Review","title-short":"Recent Applications of Explainable AI (XAI)","URL":"https://www.mdpi.com/2076-3417/14/19/8884","volume":"14","author":[{"family":"Saarela","given":"Mirka"},{"family":"Podgorelec","given":"Vili"}],"accessed":{"date-parts":[["2026",7,16]]},"issued":{"date-parts":[["2024",10,2]]}}}],"schema":"https://github.com/citation-style-language/schema/raw/master/csl-citation.json"} </w:instrText>
      </w:r>
      <w:r>
        <w:fldChar w:fldCharType="separate"/>
      </w:r>
      <w:r>
        <w:t>[13]</w:t>
      </w:r>
      <w:r>
        <w:fldChar w:fldCharType="end"/>
      </w:r>
      <w:r>
        <w:t xml:space="preserve">. Estas perspectivas deben entenderse como complementarias y no como alternativas excluyentes </w:t>
      </w:r>
      <w:r>
        <w:fldChar w:fldCharType="begin"/>
      </w:r>
      <w:r>
        <w:instrText xml:space="preserve"> ADDIN ZOTERO_ITEM CSL_CITATION {"citationID":"sPe41lAk","properties":{"unsorted":false,"formattedCitation":"[14]","plainCitation":"[14]","noteIndex":0},"citationItems":[{"id":42,"uris":["http://zotero.org/users/local/0z44BwR0/items/PEVPJNKG"],"itemData":{"id":42,"type":"article-journal","container-title":"arXiv (Cornell University)","DOI":"10.48550/arxiv.1705.07874","title":"A Unified Approach to Interpreting Model Predictions","URL":"http://arxiv.org/abs/1705.07874","author":[{"family":"Lundberg","given":"Scott"},{"family":"Lee","given":"Su-In"}],"issued":{"date-parts":[["2017",5]]}}}],"schema":"https://github.com/citation-style-language/schema/raw/master/csl-citation.json"} </w:instrText>
      </w:r>
      <w:r>
        <w:fldChar w:fldCharType="separate"/>
      </w:r>
      <w:r>
        <w:t>[14]</w:t>
      </w:r>
      <w:r>
        <w:fldChar w:fldCharType="end"/>
      </w:r>
      <w:r>
        <w:t xml:space="preserve">, </w:t>
      </w:r>
      <w:r>
        <w:fldChar w:fldCharType="begin"/>
      </w:r>
      <w:r>
        <w:instrText xml:space="preserve"> ADDIN ZOTERO_ITEM CSL_CITATION {"citationID":"yPxufR7E","properties":{"unsorted":false,"formattedCitation":"[15]","plainCitation":"[15]","noteIndex":0},"citationItems":[{"id":35,"uris":["http://zotero.org/users/local/0z44BwR0/items/UEZZYGID"],"itemData":{"id":35,"type":"article-journal","container-title":"Journal Of Big Data","DOI":"10.1186/s40537-025-01340-1","issue":"1","title":"Hybrid machine learning modelling with explainability for predicting case delays and durations in Indian lower courts","URL":"https://doi.org/10.1186/s40537-025-01340-1","volume":"13","author":[{"family":"Bhatnagar","given":"Mohit"},{"family":"Huchhanavar","given":"Shivaraj"}],"issued":{"date-parts":[["2025",12]]}}}],"schema":"https://github.com/citation-style-language/schema/raw/master/csl-citation.json"} </w:instrText>
      </w:r>
      <w:r>
        <w:fldChar w:fldCharType="separate"/>
      </w:r>
      <w:r>
        <w:t>[15]</w:t>
      </w:r>
      <w:r>
        <w:fldChar w:fldCharType="end"/>
      </w:r>
      <w:r>
        <w:t xml:space="preserve">. En paralelo, las herramientas de evaluación de riesgo en el sector justicia penal se encuentran bajo estricto escrutinio; la literatura documenta que algoritmos comerciales basados en más de 100 variables no superaron en precisión ni en equidad a las predicciones realizadas por personas sin experticia legal </w:t>
      </w:r>
      <w:r>
        <w:fldChar w:fldCharType="begin"/>
      </w:r>
      <w:r>
        <w:instrText xml:space="preserve"> ADDIN ZOTERO_ITEM CSL_CITATION {"citationID":"kR3yzfdy","properties":{"unsorted":false,"formattedCitation":"[16]","plainCitation":"[16]","noteIndex":0},"citationItems":[{"id":43,"uris":["http://zotero.org/users/local/0z44BwR0/items/V2MHTV7A"],"itemData":{"id":43,"type":"article-journal","container-title":"Science Advances","DOI":"10.1126/sciadv.aao5580","issue":"1","page":"eaao5580","title":"The accuracy, fairness, and limits of predicting recidivism","URL":"https://doi.org/10.1126/sciadv.aao5580","volume":"4","author":[{"family":"Dressel","given":"Julia"},{"family":"Farid","given":"Hany"}],"issued":{"date-parts":[["2018",1]]}}}],"schema":"https://github.com/citation-style-language/schema/raw/master/csl-citation.json"} </w:instrText>
      </w:r>
      <w:r>
        <w:fldChar w:fldCharType="separate"/>
      </w:r>
      <w:r>
        <w:t>[16]</w:t>
      </w:r>
      <w:r>
        <w:fldChar w:fldCharType="end"/>
      </w:r>
      <w:r>
        <w:t xml:space="preserve">. Este panorama evidencia que una alta precisión predictiva, por sí sola, resulta insuficiente para respaldar decisiones en contextos judiciales. La confianza institucional también requiere modelos transparentes, interpretables y auditables, capaces de justificar sus predicciones y facilitar su revisión por especialistas en concordancia con la literatura reciente sobre Responsible AI </w:t>
      </w:r>
      <w:r>
        <w:fldChar w:fldCharType="begin"/>
      </w:r>
      <w:r>
        <w:instrText xml:space="preserve"> ADDIN ZOTERO_ITEM CSL_CITATION {"citationID":"LBbXmjGq","properties":{"unsorted":false,"formattedCitation":"[17]","plainCitation":"[17]","noteIndex":0},"citationItems":[{"id":49,"uris":["http://zotero.org/users/local/0z44BwR0/items/TZP58YK7"],"itemData":{"id":49,"type":"article-journal","abstract":"Abstract\n            When artificial intelligence (AI) is used to make high-stakes decisions, some worry that this will create a morally troubling responsibility gap—that is, a situation in which nobody is morally responsible for the actions and outcomes that result. Since the responsibility gap might be thought to result from individuals lacking knowledge of the future behavior of AI systems, it can be and has been suggested that deploying explainable artificial intelligence (XAI) techniques will help us to avoid it. These techniques provide humans with certain forms of understanding of the systems in question. In this paper, I consider whether existing XAI techniques can indeed close the responsibility gap. I identify a number of significant limits to their ability to do so. Ensuring that responsibility for AI-assisted outcomes is maintained may require using different techniques in different circumstances, and potentially also developing new techniques that can avoid each of the issues identified.","container-title":"AI &amp; SOCIETY","DOI":"10.1007/s00146-024-01939-7","ISSN":"0951-5666, 1435-5655","issue":"3","journalAbbreviation":"AI &amp; Soc","language":"en","page":"1695-1704","source":"DOI.org (Crossref)","title":"Is explainable AI responsible AI?","URL":"https://link.springer.com/10.1007/s00146-024-01939-7","volume":"40","author":[{"family":"Taylor","given":"Isaac"}],"accessed":{"date-parts":[["2026",7,16]]},"issued":{"date-parts":[["2025",3]]}}}],"schema":"https://github.com/citation-style-language/schema/raw/master/csl-citation.json"} </w:instrText>
      </w:r>
      <w:r>
        <w:fldChar w:fldCharType="separate"/>
      </w:r>
      <w:r>
        <w:t>[17]</w:t>
      </w:r>
      <w:r>
        <w:fldChar w:fldCharType="end"/>
      </w:r>
      <w:r>
        <w:t>.</w:t>
      </w:r>
    </w:p>
    <w:p w14:paraId="635B7B7A" w14:textId="77777777" w:rsidR="00000000" w:rsidRDefault="00000000">
      <w:r>
        <w:t>Bajo esta perspectiva, el presente framework incorpora explicaciones locales mediante valores SHAP y diagnósticos de calibración probabilística para favorecer un uso responsable de las predicciones antes de cualquier eventual integración institucional. En consecuencia, el reto actual trasciende el uso aislado de técnicas de explicabilidad y consiste en incorporarlas dentro de frameworks completos que integren validación rigurosa, transparencia y reproducibilidad desde el diseño metodológico.</w:t>
      </w:r>
    </w:p>
    <w:p w14:paraId="479CDAE6" w14:textId="77777777" w:rsidR="00000000" w:rsidRDefault="00000000">
      <w:r>
        <w:t>En conjunto, la literatura demuestra avances importantes en la aplicación del aprendizaje automático al ámbito judicial, la selección de variables, la prevención de fuga de información y la interpretabilidad de modelos. Sin embargo, estos componentes suelen abordarse de manera aislada, con escasa integración dentro de marcos metodológicos reproducibles que incorporen simultáneamente validación temporal, selección robusta de variables, explicabilidad y evaluación orientada al contexto operativo.</w:t>
      </w:r>
    </w:p>
    <w:p w14:paraId="678692C0" w14:textId="77777777" w:rsidR="00000000" w:rsidRDefault="00000000">
      <w:r>
        <w:t>Esta necesidad metodológica motiva la propuesta presentada en la siguiente sección, cuyo principal aporte consiste en integrar, dentro de un único framework reproducible, selección robusta de variables, prevención de fuga de información, validación temporal, aprendizaje supervisado e interpretabilidad para la identificación temprana de señales proxy de congestión fiscal.</w:t>
      </w:r>
    </w:p>
    <w:p w14:paraId="30B8D0DA" w14:textId="77777777" w:rsidR="00000000" w:rsidRDefault="00000000">
      <w:pPr>
        <w:pStyle w:val="Ttulo1"/>
        <w:ind w:firstLine="357"/>
      </w:pPr>
      <w:r>
        <w:t>III. Materiales y Métodos</w:t>
      </w:r>
    </w:p>
    <w:p w14:paraId="3D3113C3" w14:textId="77777777" w:rsidR="00000000" w:rsidRDefault="00000000">
      <w:pPr>
        <w:pStyle w:val="Ttulo2"/>
        <w:numPr>
          <w:ilvl w:val="1"/>
          <w:numId w:val="2"/>
        </w:numPr>
      </w:pPr>
      <w:r>
        <w:t>A.</w:t>
      </w:r>
      <w:r>
        <w:tab/>
        <w:t>Conjunto de datos</w:t>
      </w:r>
    </w:p>
    <w:p w14:paraId="1ECFEE24" w14:textId="77777777" w:rsidR="00000000" w:rsidRDefault="00000000">
      <w:pPr>
        <w:pStyle w:val="Ttulo3"/>
        <w:numPr>
          <w:ilvl w:val="2"/>
          <w:numId w:val="2"/>
        </w:numPr>
      </w:pPr>
      <w:r>
        <w:t>1) Descripción</w:t>
      </w:r>
    </w:p>
    <w:p w14:paraId="29EFADCD" w14:textId="77777777" w:rsidR="00000000" w:rsidRDefault="00000000">
      <w:r>
        <w:t xml:space="preserve">Esta investigación utiliza los registros administrativos del conjunto de datos “MPFN Casos Fiscales”, publicado por el Ministerio Público – Fiscalía de la Nación (MPFN) del Perú en la Plataforma Nacional de Datos Abiertos </w:t>
      </w:r>
      <w:r>
        <w:fldChar w:fldCharType="begin"/>
      </w:r>
      <w:r>
        <w:instrText xml:space="preserve"> ADDIN ZOTERO_ITEM CSL_CITATION {"citationID":"TqAiGHnH","properties":{"unsorted":false,"formattedCitation":"[18]","plainCitation":"[18]","noteIndex":0},"citationItems":[{"id":45,"uris":["http://zotero.org/users/local/0z44BwR0/items/PZW237VK"],"itemData":{"id":45,"type":"document","title":"[MPFN] Casos fiscales | Plataforma Nacional de Datos Abiertos","URL":"https://www.datosabiertos.gob.pe/dataset/mpfn-casos-fiscales","author":[{"literal":"Ministerio Público – Fiscalía de la Nación (MPFN)"}],"issued":{"date-parts":[["2022",4]]}}}],"schema":"https://github.com/citation-style-language/schema/raw/master/csl-citation.json"} </w:instrText>
      </w:r>
      <w:r>
        <w:fldChar w:fldCharType="separate"/>
      </w:r>
      <w:r>
        <w:t>[18]</w:t>
      </w:r>
      <w:r>
        <w:fldChar w:fldCharType="end"/>
      </w:r>
      <w:r>
        <w:t xml:space="preserve">. La matriz reporta la volumetría de causas ingresadas y atendidas a nivel nacional, desagregada por distrito fiscal, tipo de fiscalía, materia y especialidad, distribuida en archivos independientes en formato CSV anuales (periodo 2019–2026). </w:t>
      </w:r>
    </w:p>
    <w:p w14:paraId="6AEB5954" w14:textId="77777777" w:rsidR="00000000" w:rsidRDefault="00000000">
      <w:pPr>
        <w:pStyle w:val="Ttulo3"/>
        <w:numPr>
          <w:ilvl w:val="2"/>
          <w:numId w:val="2"/>
        </w:numPr>
      </w:pPr>
      <w:r>
        <w:t>2) Variables</w:t>
      </w:r>
    </w:p>
    <w:p w14:paraId="61CECCC5" w14:textId="77777777" w:rsidR="00000000" w:rsidRDefault="00000000">
      <w:pPr>
        <w:rPr>
          <w:b/>
        </w:rPr>
      </w:pPr>
      <w:r>
        <w:t xml:space="preserve">El diccionario de datos oficial del MPFN contempla 16 campos administrativos crudos estructurados en cuatro dimensiones: temporalidad, geografía institucional, taxonomía de la causa y carga volumétrica que se explica en Tabla I. </w:t>
      </w:r>
    </w:p>
    <w:p w14:paraId="55929913" w14:textId="77777777" w:rsidR="00000000" w:rsidRDefault="00000000">
      <w:pPr>
        <w:pStyle w:val="Tablecaption1"/>
        <w:rPr>
          <w:b/>
        </w:rPr>
      </w:pPr>
      <w:r>
        <w:rPr>
          <w:b/>
        </w:rPr>
        <w:t xml:space="preserve">TABLA </w:t>
      </w:r>
      <w:r>
        <w:rPr>
          <w:b/>
        </w:rPr>
        <w:fldChar w:fldCharType="begin"/>
      </w:r>
      <w:r>
        <w:rPr>
          <w:b/>
        </w:rPr>
        <w:instrText xml:space="preserve"> SEQ "Tabla" \* ROMAN </w:instrText>
      </w:r>
      <w:r>
        <w:rPr>
          <w:b/>
        </w:rPr>
        <w:fldChar w:fldCharType="separate"/>
      </w:r>
      <w:r>
        <w:rPr>
          <w:b/>
        </w:rPr>
        <w:t>I</w:t>
      </w:r>
      <w:r>
        <w:rPr>
          <w:b/>
        </w:rPr>
        <w:fldChar w:fldCharType="end"/>
      </w:r>
      <w:r>
        <w:rPr>
          <w:b/>
        </w:rPr>
        <w:t>.</w:t>
      </w:r>
      <w:r>
        <w:rPr>
          <w:b/>
          <w:bCs w:val="0"/>
        </w:rPr>
        <w:t xml:space="preserve"> </w:t>
      </w:r>
      <w:r>
        <w:rPr>
          <w:bCs w:val="0"/>
        </w:rPr>
        <w:t xml:space="preserve">Campos Administrativos Crudos </w:t>
      </w:r>
      <w:r>
        <w:rPr>
          <w:bCs w:val="0"/>
        </w:rPr>
        <w:br/>
        <w:t>Del Diccionario De Datos MPFN</w:t>
      </w:r>
    </w:p>
    <w:tbl>
      <w:tblPr>
        <w:tblW w:w="0" w:type="auto"/>
        <w:tblLayout w:type="fixed"/>
        <w:tblLook w:val="0000" w:firstRow="0" w:lastRow="0" w:firstColumn="0" w:lastColumn="0" w:noHBand="0" w:noVBand="0"/>
      </w:tblPr>
      <w:tblGrid>
        <w:gridCol w:w="1603"/>
        <w:gridCol w:w="3653"/>
      </w:tblGrid>
      <w:tr w:rsidR="00000000" w14:paraId="2336F501" w14:textId="77777777">
        <w:trPr>
          <w:tblHeader/>
        </w:trPr>
        <w:tc>
          <w:tcPr>
            <w:tcW w:w="1603" w:type="dxa"/>
            <w:tcBorders>
              <w:bottom w:val="single" w:sz="4" w:space="0" w:color="000000"/>
            </w:tcBorders>
            <w:vAlign w:val="center"/>
          </w:tcPr>
          <w:p w14:paraId="7407633D" w14:textId="77777777" w:rsidR="00000000" w:rsidRDefault="00000000">
            <w:pPr>
              <w:spacing w:before="36" w:after="36"/>
              <w:ind w:firstLine="0"/>
              <w:jc w:val="left"/>
            </w:pPr>
            <w:r>
              <w:rPr>
                <w:b/>
                <w:bCs/>
                <w:sz w:val="16"/>
              </w:rPr>
              <w:t>Dimensión</w:t>
            </w:r>
          </w:p>
        </w:tc>
        <w:tc>
          <w:tcPr>
            <w:tcW w:w="3653" w:type="dxa"/>
            <w:tcBorders>
              <w:bottom w:val="single" w:sz="4" w:space="0" w:color="000000"/>
            </w:tcBorders>
            <w:vAlign w:val="center"/>
          </w:tcPr>
          <w:p w14:paraId="5A77063B" w14:textId="77777777" w:rsidR="00000000" w:rsidRDefault="00000000">
            <w:pPr>
              <w:spacing w:before="36" w:after="36"/>
              <w:ind w:firstLine="0"/>
              <w:jc w:val="left"/>
            </w:pPr>
            <w:r>
              <w:rPr>
                <w:b/>
                <w:bCs/>
                <w:sz w:val="16"/>
              </w:rPr>
              <w:t>Variables</w:t>
            </w:r>
          </w:p>
        </w:tc>
      </w:tr>
      <w:tr w:rsidR="00000000" w14:paraId="6FD322C4" w14:textId="77777777">
        <w:tc>
          <w:tcPr>
            <w:tcW w:w="1603" w:type="dxa"/>
            <w:vAlign w:val="center"/>
          </w:tcPr>
          <w:p w14:paraId="0E61EC9A" w14:textId="77777777" w:rsidR="00000000" w:rsidRDefault="00000000">
            <w:pPr>
              <w:spacing w:before="36" w:after="36"/>
              <w:ind w:firstLine="0"/>
              <w:jc w:val="left"/>
            </w:pPr>
            <w:r>
              <w:rPr>
                <w:sz w:val="16"/>
              </w:rPr>
              <w:t>Temporalidad</w:t>
            </w:r>
          </w:p>
        </w:tc>
        <w:tc>
          <w:tcPr>
            <w:tcW w:w="3653" w:type="dxa"/>
            <w:vAlign w:val="center"/>
          </w:tcPr>
          <w:p w14:paraId="5DBE7D20" w14:textId="77777777" w:rsidR="00000000" w:rsidRDefault="00000000">
            <w:pPr>
              <w:spacing w:before="36" w:after="36"/>
              <w:ind w:firstLine="0"/>
              <w:jc w:val="left"/>
            </w:pPr>
            <w:r>
              <w:rPr>
                <w:sz w:val="16"/>
              </w:rPr>
              <w:t>periodo, anio, fecha_descarga, fecha_corte</w:t>
            </w:r>
          </w:p>
        </w:tc>
      </w:tr>
      <w:tr w:rsidR="00000000" w14:paraId="667A42BE" w14:textId="77777777">
        <w:tc>
          <w:tcPr>
            <w:tcW w:w="1603" w:type="dxa"/>
            <w:vAlign w:val="center"/>
          </w:tcPr>
          <w:p w14:paraId="11E9B9DC" w14:textId="77777777" w:rsidR="00000000" w:rsidRDefault="00000000">
            <w:pPr>
              <w:spacing w:before="36" w:after="36"/>
              <w:ind w:firstLine="0"/>
              <w:jc w:val="left"/>
            </w:pPr>
            <w:r>
              <w:rPr>
                <w:sz w:val="16"/>
              </w:rPr>
              <w:t>Geografía institucional</w:t>
            </w:r>
          </w:p>
        </w:tc>
        <w:tc>
          <w:tcPr>
            <w:tcW w:w="3653" w:type="dxa"/>
            <w:vAlign w:val="center"/>
          </w:tcPr>
          <w:p w14:paraId="4E8BDBC0" w14:textId="77777777" w:rsidR="00000000" w:rsidRDefault="00000000">
            <w:pPr>
              <w:spacing w:before="36" w:after="36"/>
              <w:ind w:firstLine="0"/>
              <w:jc w:val="left"/>
            </w:pPr>
            <w:r>
              <w:rPr>
                <w:sz w:val="16"/>
              </w:rPr>
              <w:t>distrito_fiscal, ubigeo_pjfs*, dpto_pjfs, prov_pjfs, dist_pjfs</w:t>
            </w:r>
          </w:p>
        </w:tc>
      </w:tr>
      <w:tr w:rsidR="00000000" w14:paraId="3C9B633E" w14:textId="77777777">
        <w:tc>
          <w:tcPr>
            <w:tcW w:w="1603" w:type="dxa"/>
            <w:vAlign w:val="center"/>
          </w:tcPr>
          <w:p w14:paraId="7B5F65BC" w14:textId="77777777" w:rsidR="00000000" w:rsidRDefault="00000000">
            <w:pPr>
              <w:spacing w:before="36" w:after="36"/>
              <w:ind w:firstLine="0"/>
              <w:jc w:val="left"/>
            </w:pPr>
            <w:r>
              <w:rPr>
                <w:sz w:val="16"/>
              </w:rPr>
              <w:t>Taxonomía de la causa</w:t>
            </w:r>
          </w:p>
        </w:tc>
        <w:tc>
          <w:tcPr>
            <w:tcW w:w="3653" w:type="dxa"/>
            <w:vAlign w:val="center"/>
          </w:tcPr>
          <w:p w14:paraId="15CEE106" w14:textId="77777777" w:rsidR="00000000" w:rsidRDefault="00000000">
            <w:pPr>
              <w:spacing w:before="36" w:after="36"/>
              <w:ind w:firstLine="0"/>
              <w:jc w:val="left"/>
            </w:pPr>
            <w:r>
              <w:rPr>
                <w:sz w:val="16"/>
              </w:rPr>
              <w:t>tipo_fiscalia, materia, especialidad, tipo_caso, especializada</w:t>
            </w:r>
          </w:p>
        </w:tc>
      </w:tr>
      <w:tr w:rsidR="00000000" w14:paraId="5775CEF2" w14:textId="77777777">
        <w:tc>
          <w:tcPr>
            <w:tcW w:w="1603" w:type="dxa"/>
            <w:vAlign w:val="center"/>
          </w:tcPr>
          <w:p w14:paraId="303B26FA" w14:textId="77777777" w:rsidR="00000000" w:rsidRDefault="00000000">
            <w:pPr>
              <w:spacing w:before="36" w:after="36"/>
              <w:ind w:firstLine="0"/>
              <w:jc w:val="left"/>
            </w:pPr>
            <w:r>
              <w:rPr>
                <w:sz w:val="16"/>
              </w:rPr>
              <w:t>Carga volumétrica</w:t>
            </w:r>
          </w:p>
        </w:tc>
        <w:tc>
          <w:tcPr>
            <w:tcW w:w="3653" w:type="dxa"/>
            <w:vAlign w:val="center"/>
          </w:tcPr>
          <w:p w14:paraId="68531C69" w14:textId="77777777" w:rsidR="00000000" w:rsidRDefault="00000000">
            <w:pPr>
              <w:spacing w:before="36" w:after="36"/>
              <w:ind w:firstLine="0"/>
              <w:jc w:val="left"/>
            </w:pPr>
            <w:r>
              <w:rPr>
                <w:sz w:val="16"/>
              </w:rPr>
              <w:t>ingresado, atendido</w:t>
            </w:r>
          </w:p>
        </w:tc>
      </w:tr>
    </w:tbl>
    <w:p w14:paraId="5D90FBD8" w14:textId="77777777" w:rsidR="00000000" w:rsidRDefault="00000000">
      <w:pPr>
        <w:pStyle w:val="NoteTable"/>
      </w:pPr>
      <w:r>
        <w:rPr>
          <w:b/>
          <w:bCs/>
        </w:rPr>
        <w:t>Nota:</w:t>
      </w:r>
      <w:r>
        <w:t xml:space="preserve"> ubigeo_pjfs codificado según catálogo INEI</w:t>
      </w:r>
    </w:p>
    <w:p w14:paraId="1E1A76D2" w14:textId="77777777" w:rsidR="00000000" w:rsidRDefault="00000000">
      <w:pPr>
        <w:rPr>
          <w:b/>
        </w:rPr>
      </w:pPr>
      <w:r>
        <w:t>A partir de esto se construyeron 14 variables por ingeniería de características, agrupadas en cuatro familias: indicadores de presión operativa, descriptores temporales, interacciones categóricas de segundo orden y métricas históricas rezagadas por distrito fiscal, calculadas como medias móviles y tasas de crecimiento interanual de ingresos y atenciones del periodo previo (Tabla II).</w:t>
      </w:r>
    </w:p>
    <w:p w14:paraId="784D1899"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II</w:t>
      </w:r>
      <w:r>
        <w:rPr>
          <w:b/>
          <w:bCs w:val="0"/>
        </w:rPr>
        <w:fldChar w:fldCharType="end"/>
      </w:r>
      <w:r>
        <w:rPr>
          <w:b/>
          <w:bCs w:val="0"/>
        </w:rPr>
        <w:t>.</w:t>
      </w:r>
      <w:r>
        <w:rPr>
          <w:b/>
        </w:rPr>
        <w:t xml:space="preserve"> </w:t>
      </w:r>
      <w:r>
        <w:rPr>
          <w:bCs w:val="0"/>
        </w:rPr>
        <w:t>Variables Derivadas Mediante Ingeniería De Características</w:t>
      </w:r>
    </w:p>
    <w:tbl>
      <w:tblPr>
        <w:tblW w:w="5000" w:type="pct"/>
        <w:tblLayout w:type="fixed"/>
        <w:tblLook w:val="0000" w:firstRow="0" w:lastRow="0" w:firstColumn="0" w:lastColumn="0" w:noHBand="0" w:noVBand="0"/>
      </w:tblPr>
      <w:tblGrid>
        <w:gridCol w:w="1668"/>
        <w:gridCol w:w="3588"/>
      </w:tblGrid>
      <w:tr w:rsidR="00000000" w14:paraId="28E19494" w14:textId="77777777">
        <w:trPr>
          <w:tblHeader/>
        </w:trPr>
        <w:tc>
          <w:tcPr>
            <w:tcW w:w="1599" w:type="dxa"/>
            <w:tcBorders>
              <w:bottom w:val="single" w:sz="4" w:space="0" w:color="000000"/>
            </w:tcBorders>
            <w:vAlign w:val="center"/>
          </w:tcPr>
          <w:p w14:paraId="40B59C45" w14:textId="77777777" w:rsidR="00000000" w:rsidRDefault="00000000">
            <w:pPr>
              <w:spacing w:before="36" w:after="36"/>
              <w:ind w:firstLine="0"/>
              <w:jc w:val="left"/>
            </w:pPr>
            <w:r>
              <w:rPr>
                <w:b/>
                <w:bCs/>
                <w:sz w:val="16"/>
              </w:rPr>
              <w:t>Dimensión</w:t>
            </w:r>
          </w:p>
        </w:tc>
        <w:tc>
          <w:tcPr>
            <w:tcW w:w="3441" w:type="dxa"/>
            <w:tcBorders>
              <w:bottom w:val="single" w:sz="4" w:space="0" w:color="000000"/>
            </w:tcBorders>
            <w:vAlign w:val="center"/>
          </w:tcPr>
          <w:p w14:paraId="1238D21E" w14:textId="77777777" w:rsidR="00000000" w:rsidRDefault="00000000">
            <w:pPr>
              <w:spacing w:before="36" w:after="36"/>
              <w:ind w:firstLine="0"/>
              <w:jc w:val="left"/>
            </w:pPr>
            <w:r>
              <w:rPr>
                <w:b/>
                <w:bCs/>
                <w:sz w:val="16"/>
              </w:rPr>
              <w:t>Variables</w:t>
            </w:r>
          </w:p>
        </w:tc>
      </w:tr>
      <w:tr w:rsidR="00000000" w14:paraId="7828DAF7" w14:textId="77777777">
        <w:tc>
          <w:tcPr>
            <w:tcW w:w="1599" w:type="dxa"/>
            <w:vAlign w:val="center"/>
          </w:tcPr>
          <w:p w14:paraId="710DB6C6" w14:textId="77777777" w:rsidR="00000000" w:rsidRDefault="00000000">
            <w:pPr>
              <w:spacing w:before="36" w:after="36"/>
              <w:ind w:firstLine="0"/>
              <w:jc w:val="left"/>
            </w:pPr>
            <w:r>
              <w:rPr>
                <w:sz w:val="16"/>
              </w:rPr>
              <w:t>Presión operativa</w:t>
            </w:r>
          </w:p>
        </w:tc>
        <w:tc>
          <w:tcPr>
            <w:tcW w:w="3441" w:type="dxa"/>
            <w:vAlign w:val="center"/>
          </w:tcPr>
          <w:p w14:paraId="3629AEEF" w14:textId="77777777" w:rsidR="00000000" w:rsidRDefault="00000000">
            <w:pPr>
              <w:spacing w:before="36" w:after="36"/>
              <w:ind w:firstLine="0"/>
              <w:jc w:val="left"/>
            </w:pPr>
            <w:r>
              <w:rPr>
                <w:sz w:val="16"/>
              </w:rPr>
              <w:t>saldo_casos, tasa_atencion, ratio_saldo</w:t>
            </w:r>
          </w:p>
        </w:tc>
      </w:tr>
      <w:tr w:rsidR="00000000" w14:paraId="47FA5F40" w14:textId="77777777">
        <w:tc>
          <w:tcPr>
            <w:tcW w:w="1599" w:type="dxa"/>
            <w:vAlign w:val="center"/>
          </w:tcPr>
          <w:p w14:paraId="52653542" w14:textId="77777777" w:rsidR="00000000" w:rsidRDefault="00000000">
            <w:pPr>
              <w:spacing w:before="36" w:after="36"/>
              <w:ind w:firstLine="0"/>
              <w:jc w:val="left"/>
            </w:pPr>
            <w:r>
              <w:rPr>
                <w:sz w:val="16"/>
              </w:rPr>
              <w:t>Descriptores temporales</w:t>
            </w:r>
          </w:p>
        </w:tc>
        <w:tc>
          <w:tcPr>
            <w:tcW w:w="3441" w:type="dxa"/>
            <w:vAlign w:val="center"/>
          </w:tcPr>
          <w:p w14:paraId="0FB904D0" w14:textId="77777777" w:rsidR="00000000" w:rsidRDefault="00000000">
            <w:pPr>
              <w:spacing w:before="36" w:after="36"/>
              <w:ind w:firstLine="0"/>
              <w:jc w:val="left"/>
            </w:pPr>
            <w:r>
              <w:rPr>
                <w:sz w:val="16"/>
              </w:rPr>
              <w:t>anio_centrado†, post_pandemia, periodo_pandemia_2020</w:t>
            </w:r>
          </w:p>
        </w:tc>
      </w:tr>
      <w:tr w:rsidR="00000000" w14:paraId="51C5BBD8" w14:textId="77777777">
        <w:tc>
          <w:tcPr>
            <w:tcW w:w="1599" w:type="dxa"/>
            <w:vAlign w:val="center"/>
          </w:tcPr>
          <w:p w14:paraId="6B250339" w14:textId="77777777" w:rsidR="00000000" w:rsidRDefault="00000000">
            <w:pPr>
              <w:spacing w:before="36" w:after="36"/>
              <w:ind w:firstLine="0"/>
              <w:jc w:val="left"/>
            </w:pPr>
            <w:r>
              <w:rPr>
                <w:sz w:val="16"/>
              </w:rPr>
              <w:t>Interacciones categóricas (2.º orden)</w:t>
            </w:r>
          </w:p>
        </w:tc>
        <w:tc>
          <w:tcPr>
            <w:tcW w:w="3441" w:type="dxa"/>
            <w:vAlign w:val="center"/>
          </w:tcPr>
          <w:p w14:paraId="05F98DE8" w14:textId="77777777" w:rsidR="00000000" w:rsidRDefault="00000000">
            <w:pPr>
              <w:spacing w:before="36" w:after="36"/>
              <w:ind w:firstLine="0"/>
              <w:jc w:val="left"/>
            </w:pPr>
            <w:r>
              <w:rPr>
                <w:sz w:val="16"/>
              </w:rPr>
              <w:t>inter_distrito_tipo_caso, inter_materia_tipo_fiscalia, inter_tipo_fiscalia_especialidad</w:t>
            </w:r>
          </w:p>
        </w:tc>
      </w:tr>
      <w:tr w:rsidR="00000000" w14:paraId="11259D67" w14:textId="77777777">
        <w:tc>
          <w:tcPr>
            <w:tcW w:w="1599" w:type="dxa"/>
            <w:vAlign w:val="center"/>
          </w:tcPr>
          <w:p w14:paraId="29C44103" w14:textId="77777777" w:rsidR="00000000" w:rsidRDefault="00000000">
            <w:pPr>
              <w:spacing w:before="36" w:after="36"/>
              <w:ind w:firstLine="0"/>
              <w:jc w:val="left"/>
            </w:pPr>
            <w:r>
              <w:rPr>
                <w:sz w:val="16"/>
              </w:rPr>
              <w:t>Históricas rezagadas (por distrito fiscal)</w:t>
            </w:r>
          </w:p>
        </w:tc>
        <w:tc>
          <w:tcPr>
            <w:tcW w:w="3441" w:type="dxa"/>
            <w:vAlign w:val="center"/>
          </w:tcPr>
          <w:p w14:paraId="68FEC703" w14:textId="77777777" w:rsidR="00000000" w:rsidRDefault="00000000">
            <w:pPr>
              <w:spacing w:before="36" w:after="36"/>
              <w:ind w:firstLine="0"/>
              <w:jc w:val="left"/>
            </w:pPr>
            <w:r>
              <w:rPr>
                <w:sz w:val="16"/>
                <w:lang w:val="en-US"/>
              </w:rPr>
              <w:t>hist_ingresado_mean_prev_dist_pjfs, hist_atendido_mean_prev_dist_pjfs, hist_saldo_mean_prev_dist_pjfs, growth_ingresado_prev_dist_pjfs, growth_atendido_prev_dist_pjfs</w:t>
            </w:r>
          </w:p>
        </w:tc>
      </w:tr>
    </w:tbl>
    <w:p w14:paraId="6B142DB1" w14:textId="77777777" w:rsidR="00000000" w:rsidRDefault="00000000">
      <w:pPr>
        <w:pStyle w:val="Notatabla"/>
        <w:numPr>
          <w:ilvl w:val="2"/>
          <w:numId w:val="2"/>
        </w:numPr>
      </w:pPr>
      <w:r>
        <w:t>Nota: † Excluida posteriormente de la matriz de candidatas por</w:t>
      </w:r>
      <w:r>
        <w:rPr>
          <w:szCs w:val="12"/>
        </w:rPr>
        <w:t xml:space="preserve"> </w:t>
      </w:r>
      <w:r>
        <w:t>colinealidad directa con el año calendario (Sección III.B.5).</w:t>
      </w:r>
    </w:p>
    <w:p w14:paraId="0029BEC3" w14:textId="77777777" w:rsidR="00000000" w:rsidRDefault="00000000">
      <w:pPr>
        <w:pStyle w:val="Ttulo3"/>
        <w:numPr>
          <w:ilvl w:val="2"/>
          <w:numId w:val="2"/>
        </w:numPr>
      </w:pPr>
      <w:r>
        <w:t>3) Período</w:t>
      </w:r>
    </w:p>
    <w:p w14:paraId="5C880233" w14:textId="77777777" w:rsidR="00000000" w:rsidRDefault="00000000">
      <w:r>
        <w:t>El conjunto de datos unificado abarca desde enero de 2019 hasta mayo de 2026 (parcial), consolidando una matriz de 9,593 registros tras el proceso de integración. Con el fin de simular un entorno real y suprimir cualquier riesgo de fuga de información, la partición de la muestra se estructuró mediante un esquema de validación cruzada temporal por bloques anuales (</w:t>
      </w:r>
      <w:r>
        <w:rPr>
          <w:i/>
          <w:iCs/>
        </w:rPr>
        <w:t>year-block walk-forward validation</w:t>
      </w:r>
      <w:r>
        <w:t xml:space="preserve">, 4 </w:t>
      </w:r>
      <w:r>
        <w:rPr>
          <w:i/>
          <w:iCs/>
        </w:rPr>
        <w:t>folds</w:t>
      </w:r>
      <w:r>
        <w:t>).</w:t>
      </w:r>
    </w:p>
    <w:p w14:paraId="68C943AE" w14:textId="77777777" w:rsidR="00000000" w:rsidRDefault="00000000">
      <w:pPr>
        <w:rPr>
          <w:b/>
        </w:rPr>
      </w:pPr>
      <w:r>
        <w:t xml:space="preserve">La distribución cronológica se configuró de la siguiente manera: el periodo 2019–2023 se reservó para el entrenamiento principal (subdividido en un bloque de ajuste interno 2019–2022 y un bloque de validación interna 2023 dedicado exclusivamente a la selección de variables por consenso); el bloque correspondiente a 2024 se destinó a la fase de validación externa y calibración probabilística; las observaciones de 2025 se aislaron como el conjunto de prueba hold-out; finalmente, los registros disponibles de 2026 se </w:t>
      </w:r>
      <w:r>
        <w:lastRenderedPageBreak/>
        <w:t>emplearon como un conjunto de evaluación prospectiva independiente, todo lo anterior dicho se resumen en la Tabla III de a continuación.</w:t>
      </w:r>
    </w:p>
    <w:p w14:paraId="0C365AAF"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III</w:t>
      </w:r>
      <w:r>
        <w:rPr>
          <w:b/>
          <w:bCs w:val="0"/>
        </w:rPr>
        <w:fldChar w:fldCharType="end"/>
      </w:r>
      <w:r>
        <w:rPr>
          <w:b/>
          <w:bCs w:val="0"/>
        </w:rPr>
        <w:t xml:space="preserve">. </w:t>
      </w:r>
      <w:r>
        <w:rPr>
          <w:bCs w:val="0"/>
        </w:rPr>
        <w:t>Características Generales</w:t>
      </w:r>
      <w:r>
        <w:rPr>
          <w:bCs w:val="0"/>
        </w:rPr>
        <w:br/>
        <w:t>Del Conjunto De Datos.</w:t>
      </w:r>
    </w:p>
    <w:tbl>
      <w:tblPr>
        <w:tblW w:w="0" w:type="auto"/>
        <w:tblLayout w:type="fixed"/>
        <w:tblLook w:val="0000" w:firstRow="0" w:lastRow="0" w:firstColumn="0" w:lastColumn="0" w:noHBand="0" w:noVBand="0"/>
      </w:tblPr>
      <w:tblGrid>
        <w:gridCol w:w="2731"/>
        <w:gridCol w:w="2336"/>
      </w:tblGrid>
      <w:tr w:rsidR="00000000" w14:paraId="0F245518" w14:textId="77777777">
        <w:trPr>
          <w:tblHeader/>
        </w:trPr>
        <w:tc>
          <w:tcPr>
            <w:tcW w:w="2731" w:type="dxa"/>
            <w:tcBorders>
              <w:bottom w:val="single" w:sz="4" w:space="0" w:color="000000"/>
            </w:tcBorders>
            <w:vAlign w:val="center"/>
          </w:tcPr>
          <w:p w14:paraId="1C419157" w14:textId="77777777" w:rsidR="00000000" w:rsidRDefault="00000000">
            <w:pPr>
              <w:pStyle w:val="NoteTable"/>
              <w:spacing w:before="36" w:after="36"/>
            </w:pPr>
            <w:r>
              <w:rPr>
                <w:b/>
                <w:bCs/>
                <w:i w:val="0"/>
                <w:iCs w:val="0"/>
              </w:rPr>
              <w:t>Característica</w:t>
            </w:r>
          </w:p>
        </w:tc>
        <w:tc>
          <w:tcPr>
            <w:tcW w:w="2336" w:type="dxa"/>
            <w:tcBorders>
              <w:bottom w:val="single" w:sz="4" w:space="0" w:color="000000"/>
            </w:tcBorders>
            <w:vAlign w:val="center"/>
          </w:tcPr>
          <w:p w14:paraId="1A717F10" w14:textId="77777777" w:rsidR="00000000" w:rsidRDefault="00000000">
            <w:pPr>
              <w:pStyle w:val="NoteTable"/>
              <w:spacing w:before="36" w:after="36"/>
            </w:pPr>
            <w:r>
              <w:rPr>
                <w:b/>
                <w:bCs/>
                <w:i w:val="0"/>
                <w:iCs w:val="0"/>
              </w:rPr>
              <w:t>Valor</w:t>
            </w:r>
          </w:p>
        </w:tc>
      </w:tr>
      <w:tr w:rsidR="00000000" w14:paraId="5DA5EC29" w14:textId="77777777">
        <w:tc>
          <w:tcPr>
            <w:tcW w:w="2731" w:type="dxa"/>
            <w:vAlign w:val="center"/>
          </w:tcPr>
          <w:p w14:paraId="7FE129BF" w14:textId="77777777" w:rsidR="00000000" w:rsidRDefault="00000000">
            <w:pPr>
              <w:pStyle w:val="NoteTable"/>
              <w:spacing w:before="36" w:after="36"/>
            </w:pPr>
            <w:r>
              <w:rPr>
                <w:i w:val="0"/>
                <w:iCs w:val="0"/>
              </w:rPr>
              <w:t>Fuente</w:t>
            </w:r>
          </w:p>
        </w:tc>
        <w:tc>
          <w:tcPr>
            <w:tcW w:w="2336" w:type="dxa"/>
            <w:vAlign w:val="center"/>
          </w:tcPr>
          <w:p w14:paraId="7C0B6EC8" w14:textId="77777777" w:rsidR="00000000" w:rsidRDefault="00000000">
            <w:pPr>
              <w:pStyle w:val="NoteTable"/>
              <w:spacing w:before="36" w:after="36"/>
            </w:pPr>
            <w:r>
              <w:rPr>
                <w:i w:val="0"/>
                <w:iCs w:val="0"/>
              </w:rPr>
              <w:t xml:space="preserve">MPFN – Datos Abiertos Perú </w:t>
            </w:r>
            <w:r>
              <w:fldChar w:fldCharType="begin"/>
            </w:r>
            <w:r>
              <w:instrText xml:space="preserve"> ADDIN ZOTERO_ITEM CSL_CITATION {"citationID":"p7lZEPFr","properties":{"unsorted":false,"formattedCitation":"[18]","plainCitation":"[18]","noteIndex":0},"citationItems":[{"id":45,"uris":["http://zotero.org/users/local/0z44BwR0/items/PZW237VK"],"itemData":{"id":45,"type":"document","title":"[MPFN] Casos fiscales | Plataforma Nacional de Datos Abiertos","URL":"https://www.datosabiertos.gob.pe/dataset/mpfn-casos-fiscales","author":[{"literal":"Ministerio Público – Fiscalía de la Nación (MPFN)"}],"issued":{"date-parts":[["2022",4]]}}}],"schema":"https://github.com/citation-style-language/schema/raw/master/csl-citation.json"} </w:instrText>
            </w:r>
            <w:r>
              <w:fldChar w:fldCharType="separate"/>
            </w:r>
            <w:r>
              <w:t>[18]</w:t>
            </w:r>
            <w:r>
              <w:fldChar w:fldCharType="end"/>
            </w:r>
          </w:p>
        </w:tc>
      </w:tr>
      <w:tr w:rsidR="00000000" w14:paraId="73E5E87C" w14:textId="77777777">
        <w:tc>
          <w:tcPr>
            <w:tcW w:w="2731" w:type="dxa"/>
            <w:vAlign w:val="center"/>
          </w:tcPr>
          <w:p w14:paraId="4161C453" w14:textId="77777777" w:rsidR="00000000" w:rsidRDefault="00000000">
            <w:pPr>
              <w:pStyle w:val="NoteTable"/>
              <w:spacing w:before="36" w:after="36"/>
            </w:pPr>
            <w:r>
              <w:rPr>
                <w:i w:val="0"/>
                <w:iCs w:val="0"/>
              </w:rPr>
              <w:t>Período</w:t>
            </w:r>
          </w:p>
        </w:tc>
        <w:tc>
          <w:tcPr>
            <w:tcW w:w="2336" w:type="dxa"/>
            <w:vAlign w:val="center"/>
          </w:tcPr>
          <w:p w14:paraId="5EB57F6A" w14:textId="77777777" w:rsidR="00000000" w:rsidRDefault="00000000">
            <w:pPr>
              <w:pStyle w:val="NoteTable"/>
              <w:spacing w:before="36" w:after="36"/>
            </w:pPr>
            <w:r>
              <w:rPr>
                <w:i w:val="0"/>
                <w:iCs w:val="0"/>
              </w:rPr>
              <w:t>Ene. 2019 – may. 2026</w:t>
            </w:r>
          </w:p>
        </w:tc>
      </w:tr>
      <w:tr w:rsidR="00000000" w14:paraId="04E15914" w14:textId="77777777">
        <w:tc>
          <w:tcPr>
            <w:tcW w:w="2731" w:type="dxa"/>
            <w:vAlign w:val="center"/>
          </w:tcPr>
          <w:p w14:paraId="5614DB3A" w14:textId="77777777" w:rsidR="00000000" w:rsidRDefault="00000000">
            <w:pPr>
              <w:pStyle w:val="NoteTable"/>
              <w:spacing w:before="36" w:after="36"/>
            </w:pPr>
            <w:r>
              <w:rPr>
                <w:i w:val="0"/>
                <w:iCs w:val="0"/>
              </w:rPr>
              <w:t>Registros totales</w:t>
            </w:r>
          </w:p>
        </w:tc>
        <w:tc>
          <w:tcPr>
            <w:tcW w:w="2336" w:type="dxa"/>
            <w:vAlign w:val="center"/>
          </w:tcPr>
          <w:p w14:paraId="792B1569" w14:textId="77777777" w:rsidR="00000000" w:rsidRDefault="00000000">
            <w:pPr>
              <w:pStyle w:val="NoteTable"/>
              <w:spacing w:before="36" w:after="36"/>
            </w:pPr>
            <w:r>
              <w:rPr>
                <w:i w:val="0"/>
                <w:iCs w:val="0"/>
              </w:rPr>
              <w:t>9,593</w:t>
            </w:r>
          </w:p>
        </w:tc>
      </w:tr>
      <w:tr w:rsidR="00000000" w14:paraId="3C6B8E90" w14:textId="77777777">
        <w:tc>
          <w:tcPr>
            <w:tcW w:w="2731" w:type="dxa"/>
            <w:vAlign w:val="center"/>
          </w:tcPr>
          <w:p w14:paraId="54231886" w14:textId="77777777" w:rsidR="00000000" w:rsidRDefault="00000000">
            <w:pPr>
              <w:pStyle w:val="NoteTable"/>
              <w:spacing w:before="36" w:after="36"/>
            </w:pPr>
            <w:r>
              <w:rPr>
                <w:i w:val="0"/>
                <w:iCs w:val="0"/>
              </w:rPr>
              <w:t>Campos originales</w:t>
            </w:r>
          </w:p>
        </w:tc>
        <w:tc>
          <w:tcPr>
            <w:tcW w:w="2336" w:type="dxa"/>
            <w:vAlign w:val="center"/>
          </w:tcPr>
          <w:p w14:paraId="6170B8B9" w14:textId="77777777" w:rsidR="00000000" w:rsidRDefault="00000000">
            <w:pPr>
              <w:pStyle w:val="NoteTable"/>
              <w:spacing w:before="36" w:after="36"/>
            </w:pPr>
            <w:r>
              <w:rPr>
                <w:i w:val="0"/>
                <w:iCs w:val="0"/>
              </w:rPr>
              <w:t>16</w:t>
            </w:r>
          </w:p>
        </w:tc>
      </w:tr>
      <w:tr w:rsidR="00000000" w14:paraId="561832F2" w14:textId="77777777">
        <w:tc>
          <w:tcPr>
            <w:tcW w:w="2731" w:type="dxa"/>
            <w:vAlign w:val="center"/>
          </w:tcPr>
          <w:p w14:paraId="0548FFBC" w14:textId="77777777" w:rsidR="00000000" w:rsidRDefault="00000000">
            <w:pPr>
              <w:pStyle w:val="NoteTable"/>
              <w:spacing w:before="36" w:after="36"/>
            </w:pPr>
            <w:r>
              <w:rPr>
                <w:i w:val="0"/>
                <w:iCs w:val="0"/>
              </w:rPr>
              <w:t>Variables candidatas (inicial)</w:t>
            </w:r>
          </w:p>
        </w:tc>
        <w:tc>
          <w:tcPr>
            <w:tcW w:w="2336" w:type="dxa"/>
            <w:vAlign w:val="center"/>
          </w:tcPr>
          <w:p w14:paraId="5C878578" w14:textId="77777777" w:rsidR="00000000" w:rsidRDefault="00000000">
            <w:pPr>
              <w:pStyle w:val="NoteTable"/>
              <w:spacing w:before="36" w:after="36"/>
            </w:pPr>
            <w:r>
              <w:rPr>
                <w:i w:val="0"/>
                <w:iCs w:val="0"/>
              </w:rPr>
              <w:t>28</w:t>
            </w:r>
          </w:p>
        </w:tc>
      </w:tr>
      <w:tr w:rsidR="00000000" w14:paraId="6AF205A1" w14:textId="77777777">
        <w:tc>
          <w:tcPr>
            <w:tcW w:w="2731" w:type="dxa"/>
            <w:vAlign w:val="center"/>
          </w:tcPr>
          <w:p w14:paraId="79674C65" w14:textId="77777777" w:rsidR="00000000" w:rsidRDefault="00000000">
            <w:pPr>
              <w:pStyle w:val="NoteTable"/>
              <w:spacing w:before="36" w:after="36"/>
            </w:pPr>
            <w:r>
              <w:rPr>
                <w:i w:val="0"/>
                <w:iCs w:val="0"/>
              </w:rPr>
              <w:t>Post filtro Pearson (&gt;0.90)</w:t>
            </w:r>
          </w:p>
        </w:tc>
        <w:tc>
          <w:tcPr>
            <w:tcW w:w="2336" w:type="dxa"/>
            <w:vAlign w:val="center"/>
          </w:tcPr>
          <w:p w14:paraId="0AEAC0C5" w14:textId="77777777" w:rsidR="00000000" w:rsidRDefault="00000000">
            <w:pPr>
              <w:pStyle w:val="NoteTable"/>
              <w:spacing w:before="36" w:after="36"/>
            </w:pPr>
            <w:r>
              <w:rPr>
                <w:i w:val="0"/>
                <w:iCs w:val="0"/>
              </w:rPr>
              <w:t>26</w:t>
            </w:r>
          </w:p>
        </w:tc>
      </w:tr>
      <w:tr w:rsidR="00000000" w14:paraId="69A3129E" w14:textId="77777777">
        <w:tc>
          <w:tcPr>
            <w:tcW w:w="2731" w:type="dxa"/>
            <w:vAlign w:val="center"/>
          </w:tcPr>
          <w:p w14:paraId="61CED6F1" w14:textId="77777777" w:rsidR="00000000" w:rsidRDefault="00000000">
            <w:pPr>
              <w:pStyle w:val="NoteTable"/>
              <w:spacing w:before="36" w:after="36"/>
            </w:pPr>
            <w:r>
              <w:rPr>
                <w:i w:val="0"/>
                <w:iCs w:val="0"/>
              </w:rPr>
              <w:t>Post filtro Cramér’s V (&gt;0.80)</w:t>
            </w:r>
          </w:p>
        </w:tc>
        <w:tc>
          <w:tcPr>
            <w:tcW w:w="2336" w:type="dxa"/>
            <w:vAlign w:val="center"/>
          </w:tcPr>
          <w:p w14:paraId="5718B34A" w14:textId="77777777" w:rsidR="00000000" w:rsidRDefault="00000000">
            <w:pPr>
              <w:pStyle w:val="NoteTable"/>
              <w:spacing w:before="36" w:after="36"/>
            </w:pPr>
            <w:r>
              <w:rPr>
                <w:i w:val="0"/>
                <w:iCs w:val="0"/>
              </w:rPr>
              <w:t>17</w:t>
            </w:r>
          </w:p>
        </w:tc>
      </w:tr>
      <w:tr w:rsidR="00000000" w14:paraId="31641302" w14:textId="77777777">
        <w:tc>
          <w:tcPr>
            <w:tcW w:w="2731" w:type="dxa"/>
            <w:vAlign w:val="center"/>
          </w:tcPr>
          <w:p w14:paraId="300E3774" w14:textId="77777777" w:rsidR="00000000" w:rsidRDefault="00000000">
            <w:pPr>
              <w:pStyle w:val="NoteTable"/>
              <w:spacing w:before="36" w:after="36"/>
            </w:pPr>
            <w:r>
              <w:rPr>
                <w:i w:val="0"/>
                <w:iCs w:val="0"/>
                <w:lang w:val="en-US"/>
              </w:rPr>
              <w:t>Post codificación (one</w:t>
            </w:r>
            <w:r>
              <w:rPr>
                <w:i w:val="0"/>
                <w:iCs w:val="0"/>
                <w:lang w:val="en-US"/>
              </w:rPr>
              <w:noBreakHyphen/>
              <w:t>hot + freq.)</w:t>
            </w:r>
          </w:p>
        </w:tc>
        <w:tc>
          <w:tcPr>
            <w:tcW w:w="2336" w:type="dxa"/>
            <w:vAlign w:val="center"/>
          </w:tcPr>
          <w:p w14:paraId="2C7220E1" w14:textId="77777777" w:rsidR="00000000" w:rsidRDefault="00000000">
            <w:pPr>
              <w:pStyle w:val="NoteTable"/>
              <w:spacing w:before="36" w:after="36"/>
            </w:pPr>
            <w:r>
              <w:rPr>
                <w:i w:val="0"/>
                <w:iCs w:val="0"/>
              </w:rPr>
              <w:t>433</w:t>
            </w:r>
          </w:p>
        </w:tc>
      </w:tr>
      <w:tr w:rsidR="00000000" w14:paraId="1F3A00C4" w14:textId="77777777">
        <w:tc>
          <w:tcPr>
            <w:tcW w:w="2731" w:type="dxa"/>
            <w:vAlign w:val="center"/>
          </w:tcPr>
          <w:p w14:paraId="673A0133" w14:textId="77777777" w:rsidR="00000000" w:rsidRDefault="00000000">
            <w:pPr>
              <w:pStyle w:val="NoteTable"/>
              <w:spacing w:before="36" w:after="36"/>
            </w:pPr>
            <w:r>
              <w:rPr>
                <w:i w:val="0"/>
                <w:iCs w:val="0"/>
              </w:rPr>
              <w:t>Variables finales (consenso 6 métodos)</w:t>
            </w:r>
          </w:p>
        </w:tc>
        <w:tc>
          <w:tcPr>
            <w:tcW w:w="2336" w:type="dxa"/>
            <w:vAlign w:val="center"/>
          </w:tcPr>
          <w:p w14:paraId="374CFAB0" w14:textId="77777777" w:rsidR="00000000" w:rsidRDefault="00000000">
            <w:pPr>
              <w:pStyle w:val="NoteTable"/>
              <w:spacing w:before="36" w:after="36"/>
            </w:pPr>
            <w:r>
              <w:rPr>
                <w:i w:val="0"/>
                <w:iCs w:val="0"/>
              </w:rPr>
              <w:t>69</w:t>
            </w:r>
          </w:p>
        </w:tc>
      </w:tr>
      <w:tr w:rsidR="00000000" w14:paraId="6FB5E0AD" w14:textId="77777777">
        <w:tc>
          <w:tcPr>
            <w:tcW w:w="2731" w:type="dxa"/>
            <w:vAlign w:val="center"/>
          </w:tcPr>
          <w:p w14:paraId="0F3C15FB" w14:textId="77777777" w:rsidR="00000000" w:rsidRDefault="00000000">
            <w:pPr>
              <w:pStyle w:val="NoteTable"/>
              <w:spacing w:before="36" w:after="36"/>
            </w:pPr>
            <w:r>
              <w:rPr>
                <w:i w:val="0"/>
                <w:iCs w:val="0"/>
                <w:lang w:val="en-US"/>
              </w:rPr>
              <w:t>Partición train/valid/test/ext.</w:t>
            </w:r>
          </w:p>
        </w:tc>
        <w:tc>
          <w:tcPr>
            <w:tcW w:w="2336" w:type="dxa"/>
            <w:vAlign w:val="center"/>
          </w:tcPr>
          <w:p w14:paraId="0F23E932" w14:textId="77777777" w:rsidR="00000000" w:rsidRDefault="00000000">
            <w:pPr>
              <w:pStyle w:val="NoteTable"/>
              <w:spacing w:before="36" w:after="36"/>
            </w:pPr>
            <w:r>
              <w:rPr>
                <w:i w:val="0"/>
                <w:iCs w:val="0"/>
              </w:rPr>
              <w:t>6076 / 1195 / 1199 / 1123</w:t>
            </w:r>
          </w:p>
        </w:tc>
      </w:tr>
      <w:tr w:rsidR="00000000" w14:paraId="678887F9" w14:textId="77777777">
        <w:trPr>
          <w:trHeight w:val="54"/>
        </w:trPr>
        <w:tc>
          <w:tcPr>
            <w:tcW w:w="2731" w:type="dxa"/>
            <w:vAlign w:val="center"/>
          </w:tcPr>
          <w:p w14:paraId="2F7951EC" w14:textId="77777777" w:rsidR="00000000" w:rsidRDefault="00000000">
            <w:pPr>
              <w:pStyle w:val="NoteTable"/>
              <w:spacing w:before="36" w:after="36"/>
            </w:pPr>
            <w:r>
              <w:rPr>
                <w:i w:val="0"/>
                <w:iCs w:val="0"/>
              </w:rPr>
              <w:t>Balance de clases (train)</w:t>
            </w:r>
          </w:p>
        </w:tc>
        <w:tc>
          <w:tcPr>
            <w:tcW w:w="2336" w:type="dxa"/>
            <w:vAlign w:val="center"/>
          </w:tcPr>
          <w:p w14:paraId="5C4894FD" w14:textId="77777777" w:rsidR="00000000" w:rsidRDefault="00000000">
            <w:pPr>
              <w:pStyle w:val="NoteTable"/>
              <w:spacing w:before="36" w:after="36"/>
            </w:pPr>
            <w:r>
              <w:rPr>
                <w:i w:val="0"/>
                <w:iCs w:val="0"/>
              </w:rPr>
              <w:t>86.0 % / 14.0 %</w:t>
            </w:r>
          </w:p>
        </w:tc>
      </w:tr>
      <w:tr w:rsidR="00000000" w14:paraId="730AD2F5" w14:textId="77777777">
        <w:tc>
          <w:tcPr>
            <w:tcW w:w="2731" w:type="dxa"/>
            <w:vAlign w:val="center"/>
          </w:tcPr>
          <w:p w14:paraId="7BD54208" w14:textId="77777777" w:rsidR="00000000" w:rsidRDefault="00000000">
            <w:pPr>
              <w:pStyle w:val="NoteTable"/>
              <w:spacing w:before="36" w:after="36"/>
            </w:pPr>
            <w:r>
              <w:rPr>
                <w:i w:val="0"/>
                <w:iCs w:val="0"/>
              </w:rPr>
              <w:t>Validación</w:t>
            </w:r>
          </w:p>
        </w:tc>
        <w:tc>
          <w:tcPr>
            <w:tcW w:w="2336" w:type="dxa"/>
            <w:vAlign w:val="center"/>
          </w:tcPr>
          <w:p w14:paraId="3F53204C" w14:textId="77777777" w:rsidR="00000000" w:rsidRDefault="00000000">
            <w:pPr>
              <w:pStyle w:val="NoteTable"/>
              <w:spacing w:before="36" w:after="36"/>
            </w:pPr>
            <w:r>
              <w:rPr>
                <w:i w:val="0"/>
                <w:iCs w:val="0"/>
              </w:rPr>
              <w:t>Year</w:t>
            </w:r>
            <w:r>
              <w:rPr>
                <w:i w:val="0"/>
                <w:iCs w:val="0"/>
              </w:rPr>
              <w:noBreakHyphen/>
              <w:t>block, 4 folds</w:t>
            </w:r>
          </w:p>
        </w:tc>
      </w:tr>
    </w:tbl>
    <w:p w14:paraId="014BE88F" w14:textId="77777777" w:rsidR="00000000" w:rsidRDefault="00000000">
      <w:pPr>
        <w:pStyle w:val="NoteTable"/>
      </w:pPr>
      <w:r>
        <w:rPr>
          <w:b/>
          <w:bCs/>
        </w:rPr>
        <w:t>Nota:</w:t>
      </w:r>
      <w:r>
        <w:t xml:space="preserve"> partición expresada como train/valid/test/externa. Balance de clases: clase 0 / clase 1.</w:t>
      </w:r>
    </w:p>
    <w:p w14:paraId="58256A9F" w14:textId="77777777" w:rsidR="00000000" w:rsidRDefault="00000000">
      <w:pPr>
        <w:pStyle w:val="Ttulo2"/>
        <w:numPr>
          <w:ilvl w:val="1"/>
          <w:numId w:val="2"/>
        </w:numPr>
      </w:pPr>
      <w:r>
        <w:t>B.</w:t>
      </w:r>
      <w:r>
        <w:tab/>
        <w:t>framework metodológico</w:t>
      </w:r>
    </w:p>
    <w:p w14:paraId="2E784A34" w14:textId="77777777" w:rsidR="00000000" w:rsidRDefault="00000000">
      <w:r>
        <w:t>La propuesta se compone de seis fases secuenciales diseñadas para garantizar la reproducibilidad, auditabilidad y validez temporal del sistema (Figura 1).</w:t>
      </w:r>
    </w:p>
    <w:p w14:paraId="57C3762B" w14:textId="77777777" w:rsidR="00000000" w:rsidRDefault="00000000"/>
    <w:p w14:paraId="00994231" w14:textId="77777777" w:rsidR="00000000" w:rsidRDefault="00000000">
      <w:pPr>
        <w:ind w:firstLine="709"/>
        <w:rPr>
          <w:b/>
        </w:rPr>
      </w:pPr>
      <w:r>
        <w:rPr>
          <w:lang w:val="es-PE" w:eastAsia="es-PE"/>
        </w:rPr>
        <w:pict w14:anchorId="2F8DC2B2">
          <v:shape id="_x0000_i1027" type="#_x0000_t75" style="width:187.8pt;height:93.6pt" filled="t">
            <v:fill color2="black"/>
            <v:imagedata r:id="rId14" o:title="" croptop="-27f" cropbottom="-27f" cropleft="-13f" cropright="-13f"/>
          </v:shape>
        </w:pict>
      </w:r>
    </w:p>
    <w:p w14:paraId="128CFADD"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1</w:t>
      </w:r>
      <w:r>
        <w:rPr>
          <w:b/>
          <w:bCs w:val="0"/>
        </w:rPr>
        <w:fldChar w:fldCharType="end"/>
      </w:r>
      <w:r>
        <w:rPr>
          <w:b/>
          <w:bCs w:val="0"/>
          <w:lang w:val="es-PE"/>
        </w:rPr>
        <w:t xml:space="preserve">. </w:t>
      </w:r>
      <w:r>
        <w:rPr>
          <w:lang w:val="es-PE"/>
        </w:rPr>
        <w:t>Marco Metodológico de Consenso, Validación Temporal y Explicabilidad para Congestión Fiscal.</w:t>
      </w:r>
    </w:p>
    <w:p w14:paraId="4580B871" w14:textId="77777777" w:rsidR="00000000" w:rsidRDefault="00000000">
      <w:pPr>
        <w:pStyle w:val="Ttulo3"/>
        <w:numPr>
          <w:ilvl w:val="2"/>
          <w:numId w:val="2"/>
        </w:numPr>
      </w:pPr>
      <w:r>
        <w:t>1) Calidad de datos (Data Quality)</w:t>
      </w:r>
    </w:p>
    <w:p w14:paraId="7630A951" w14:textId="77777777" w:rsidR="00000000" w:rsidRDefault="00000000">
      <w:r>
        <w:t xml:space="preserve">Este proceso abarcó la normalización de variables categóricas —mediante la eliminación de espacios en blanco, estandarización a mayúsculas y homologación de valores nulos—, la detección de columnas redundantes derivadas de la fusión anual y la eliminación de filas repetidas. </w:t>
      </w:r>
    </w:p>
    <w:p w14:paraId="43DC7DEA" w14:textId="77777777" w:rsidR="00000000" w:rsidRDefault="00000000">
      <w:r>
        <w:t>El tratamiento de valores faltantes que hubo en los campos de ingresado y atendido, se empleó la mediana calculada exclusivamente sobre los bloques temporales de entrenamiento para mitigar la fuga de información, generando en paralelo variables indicadoras binarias (</w:t>
      </w:r>
      <w:r>
        <w:rPr>
          <w:i/>
          <w:iCs/>
        </w:rPr>
        <w:t>flag_nulo_</w:t>
      </w:r>
      <w:r>
        <w:t xml:space="preserve">) para preservar la señal de ausencia como un atributo potencialmente predictivo. </w:t>
      </w:r>
    </w:p>
    <w:p w14:paraId="7CD74CA6" w14:textId="77777777" w:rsidR="00000000" w:rsidRDefault="00000000">
      <w:r>
        <w:t>En el caso de las variables categóricas, los valores faltantes se imputaron bajo una categoría explícita (</w:t>
      </w:r>
      <w:r>
        <w:rPr>
          <w:rStyle w:val="Variable"/>
        </w:rPr>
        <w:t>NO_ESPECIFICADO</w:t>
      </w:r>
      <w:r>
        <w:t xml:space="preserve">) en lugar de la moda, evitando la introducción de una clase artificialmente dominante. </w:t>
      </w:r>
      <w:r>
        <w:t>Finalmente, se aplicó el criterio del rango intercuartílico (IQR) para el perfilamiento preliminar y aislamiento de valores numéricos atípicos.</w:t>
      </w:r>
    </w:p>
    <w:p w14:paraId="6AA489EB" w14:textId="77777777" w:rsidR="00000000" w:rsidRDefault="00000000">
      <w:pPr>
        <w:pStyle w:val="Ttulo3"/>
        <w:numPr>
          <w:ilvl w:val="2"/>
          <w:numId w:val="2"/>
        </w:numPr>
      </w:pPr>
      <w:r>
        <w:t>2) Target proxy</w:t>
      </w:r>
    </w:p>
    <w:p w14:paraId="454BE1E6" w14:textId="77777777" w:rsidR="00000000" w:rsidRDefault="00000000">
      <w:r>
        <w:t xml:space="preserve">Sea sᵢ = ingresadoᵢ − atendidoᵢ el saldo procesal y tᵢ = atendidoᵢ / ingresadoᵢ la tasa de atención del registro </w:t>
      </w:r>
      <w:r>
        <w:rPr>
          <w:i/>
          <w:iCs/>
        </w:rPr>
        <w:t>i</w:t>
      </w:r>
      <w:r>
        <w:t xml:space="preserve">. La variable objetivo binaria </w:t>
      </w:r>
      <w:r>
        <w:rPr>
          <w:rStyle w:val="Variable"/>
        </w:rPr>
        <w:t>riesgo_congestion</w:t>
      </w:r>
      <w:r>
        <w:t xml:space="preserve"> se define, bajo el escenario base (P75/P25), como se muestra en la Ecuación 1.</w:t>
      </w:r>
    </w:p>
    <w:p w14:paraId="0B26131E" w14:textId="77777777" w:rsidR="00000000" w:rsidRDefault="00000000"/>
    <w:tbl>
      <w:tblPr>
        <w:tblW w:w="0" w:type="auto"/>
        <w:jc w:val="center"/>
        <w:tblLayout w:type="fixed"/>
        <w:tblLook w:val="0000" w:firstRow="0" w:lastRow="0" w:firstColumn="0" w:lastColumn="0" w:noHBand="0" w:noVBand="0"/>
      </w:tblPr>
      <w:tblGrid>
        <w:gridCol w:w="4253"/>
        <w:gridCol w:w="450"/>
      </w:tblGrid>
      <w:tr w:rsidR="00000000" w14:paraId="32312859" w14:textId="77777777">
        <w:trPr>
          <w:jc w:val="center"/>
        </w:trPr>
        <w:tc>
          <w:tcPr>
            <w:tcW w:w="4253" w:type="dxa"/>
            <w:vAlign w:val="center"/>
          </w:tcPr>
          <w:p w14:paraId="4EB82237" w14:textId="77777777" w:rsidR="00000000" w:rsidRDefault="00000000">
            <w:pPr>
              <w:ind w:firstLine="0"/>
              <w:jc w:val="left"/>
            </w:pPr>
            <w:r>
              <w:rPr>
                <w:lang w:val="es-PE" w:eastAsia="es-PE"/>
              </w:rPr>
              <w:pict w14:anchorId="6C72E141">
                <v:shape id="_x0000_i1028" type="#_x0000_t75" style="width:202.2pt;height:18.6pt" filled="t">
                  <v:fill color2="black"/>
                  <v:imagedata r:id="rId15" o:title="" croptop="-326f" cropbottom="-326f" cropleft="-14f" cropright="-21f"/>
                </v:shape>
              </w:pict>
            </w:r>
          </w:p>
        </w:tc>
        <w:tc>
          <w:tcPr>
            <w:tcW w:w="450" w:type="dxa"/>
            <w:vAlign w:val="center"/>
          </w:tcPr>
          <w:p w14:paraId="09057A4A" w14:textId="77777777" w:rsidR="00000000" w:rsidRDefault="00000000">
            <w:pPr>
              <w:ind w:firstLine="0"/>
              <w:jc w:val="left"/>
            </w:pPr>
            <w:r>
              <w:t>(</w:t>
            </w:r>
            <w:fldSimple w:instr=" SEQ &quot;Ecu&quot; \* ARABIC ">
              <w:r>
                <w:t>1</w:t>
              </w:r>
            </w:fldSimple>
            <w:r>
              <w:t>)</w:t>
            </w:r>
          </w:p>
        </w:tc>
      </w:tr>
    </w:tbl>
    <w:p w14:paraId="22E5B267" w14:textId="77777777" w:rsidR="00000000" w:rsidRDefault="00000000"/>
    <w:p w14:paraId="60F9EB9D" w14:textId="77777777" w:rsidR="00000000" w:rsidRDefault="00000000">
      <w:r>
        <w:t xml:space="preserve">donde los umbrales de percentil </w:t>
      </w:r>
      <w:r>
        <w:rPr>
          <w:i/>
          <w:iCs/>
        </w:rPr>
        <w:t>q</w:t>
      </w:r>
      <w:r>
        <w:rPr>
          <w:vertAlign w:val="subscript"/>
        </w:rPr>
        <w:t xml:space="preserve">75 </w:t>
      </w:r>
      <w:r>
        <w:t xml:space="preserve">y </w:t>
      </w:r>
      <w:r>
        <w:rPr>
          <w:i/>
          <w:iCs/>
        </w:rPr>
        <w:t>q</w:t>
      </w:r>
      <w:r>
        <w:rPr>
          <w:vertAlign w:val="subscript"/>
        </w:rPr>
        <w:t>25</w:t>
      </w:r>
      <w:r>
        <w:t xml:space="preserve"> se calculan exclusivamente sobre el bloque de entrenamiento. El framework define formalmente esta etiqueta como una señal proxy operativa y no como una certificación oficial de congestión fiscal o una inferencia causal. Este diseño responde a un criterio conservador orientado a aislar situaciones de sobrecarga operacional severa de manera auditable.</w:t>
      </w:r>
    </w:p>
    <w:p w14:paraId="6ED0C9D6" w14:textId="77777777" w:rsidR="00000000" w:rsidRDefault="00000000">
      <w:pPr>
        <w:pStyle w:val="Ttulo3"/>
        <w:numPr>
          <w:ilvl w:val="2"/>
          <w:numId w:val="2"/>
        </w:numPr>
      </w:pPr>
      <w:r>
        <w:t>3) Análisis de sensibilidad del target</w:t>
      </w:r>
    </w:p>
    <w:p w14:paraId="5ADC14D8" w14:textId="77777777" w:rsidR="00000000" w:rsidRDefault="00000000">
      <w:pPr>
        <w:rPr>
          <w:b/>
        </w:rPr>
      </w:pPr>
      <w:r>
        <w:t xml:space="preserve">Dado que </w:t>
      </w:r>
      <w:r>
        <w:rPr>
          <w:rStyle w:val="Variable"/>
        </w:rPr>
        <w:t>riesgo_congestion</w:t>
      </w:r>
      <w:r>
        <w:t xml:space="preserve"> es una etiqueta proxy, su robustez frente a la elección arbitraria de percentiles debe verificarse antes de aceptarla como base del modelado; para ello se estructuraron tres escenarios alternativos como análisis de sensibilidad paralelo (Tabla IV).</w:t>
      </w:r>
    </w:p>
    <w:p w14:paraId="48189748"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IV</w:t>
      </w:r>
      <w:r>
        <w:rPr>
          <w:b/>
          <w:bCs w:val="0"/>
        </w:rPr>
        <w:fldChar w:fldCharType="end"/>
      </w:r>
      <w:r>
        <w:rPr>
          <w:b/>
          <w:bCs w:val="0"/>
        </w:rPr>
        <w:t>.</w:t>
      </w:r>
      <w:r>
        <w:rPr>
          <w:b/>
        </w:rPr>
        <w:t xml:space="preserve"> </w:t>
      </w:r>
      <w:r>
        <w:rPr>
          <w:bCs w:val="0"/>
        </w:rPr>
        <w:t>Análisis De Sensibilidad Del Target Proxy Por Escenario</w:t>
      </w:r>
    </w:p>
    <w:tbl>
      <w:tblPr>
        <w:tblW w:w="5000" w:type="pct"/>
        <w:tblLayout w:type="fixed"/>
        <w:tblLook w:val="0000" w:firstRow="0" w:lastRow="0" w:firstColumn="0" w:lastColumn="0" w:noHBand="0" w:noVBand="0"/>
      </w:tblPr>
      <w:tblGrid>
        <w:gridCol w:w="876"/>
        <w:gridCol w:w="876"/>
        <w:gridCol w:w="876"/>
        <w:gridCol w:w="876"/>
        <w:gridCol w:w="876"/>
        <w:gridCol w:w="876"/>
      </w:tblGrid>
      <w:tr w:rsidR="00000000" w14:paraId="357AC493" w14:textId="77777777">
        <w:tc>
          <w:tcPr>
            <w:tcW w:w="840" w:type="dxa"/>
            <w:tcBorders>
              <w:bottom w:val="single" w:sz="4" w:space="0" w:color="000000"/>
            </w:tcBorders>
            <w:vAlign w:val="center"/>
          </w:tcPr>
          <w:p w14:paraId="727085D0" w14:textId="77777777" w:rsidR="00000000" w:rsidRDefault="00000000">
            <w:pPr>
              <w:spacing w:before="36" w:after="36"/>
              <w:ind w:firstLine="0"/>
              <w:jc w:val="left"/>
            </w:pPr>
            <w:r>
              <w:rPr>
                <w:b/>
                <w:bCs/>
                <w:sz w:val="16"/>
              </w:rPr>
              <w:t>Umbral</w:t>
            </w:r>
          </w:p>
        </w:tc>
        <w:tc>
          <w:tcPr>
            <w:tcW w:w="840" w:type="dxa"/>
            <w:tcBorders>
              <w:bottom w:val="single" w:sz="4" w:space="0" w:color="000000"/>
            </w:tcBorders>
            <w:vAlign w:val="center"/>
          </w:tcPr>
          <w:p w14:paraId="61CA628A" w14:textId="77777777" w:rsidR="00000000" w:rsidRDefault="00000000">
            <w:pPr>
              <w:spacing w:before="36" w:after="36"/>
              <w:ind w:firstLine="0"/>
              <w:jc w:val="left"/>
            </w:pPr>
            <w:r>
              <w:rPr>
                <w:b/>
                <w:bCs/>
                <w:sz w:val="16"/>
              </w:rPr>
              <w:t>Train %</w:t>
            </w:r>
          </w:p>
        </w:tc>
        <w:tc>
          <w:tcPr>
            <w:tcW w:w="840" w:type="dxa"/>
            <w:tcBorders>
              <w:bottom w:val="single" w:sz="4" w:space="0" w:color="000000"/>
            </w:tcBorders>
            <w:vAlign w:val="center"/>
          </w:tcPr>
          <w:p w14:paraId="2C332A37" w14:textId="77777777" w:rsidR="00000000" w:rsidRDefault="00000000">
            <w:pPr>
              <w:spacing w:before="36" w:after="36"/>
              <w:ind w:firstLine="0"/>
              <w:jc w:val="left"/>
            </w:pPr>
            <w:r>
              <w:rPr>
                <w:b/>
                <w:bCs/>
                <w:sz w:val="16"/>
              </w:rPr>
              <w:t>Test %</w:t>
            </w:r>
          </w:p>
        </w:tc>
        <w:tc>
          <w:tcPr>
            <w:tcW w:w="840" w:type="dxa"/>
            <w:tcBorders>
              <w:bottom w:val="single" w:sz="4" w:space="0" w:color="000000"/>
            </w:tcBorders>
            <w:vAlign w:val="center"/>
          </w:tcPr>
          <w:p w14:paraId="41E750E7" w14:textId="77777777" w:rsidR="00000000" w:rsidRDefault="00000000">
            <w:pPr>
              <w:spacing w:before="36" w:after="36"/>
              <w:ind w:firstLine="0"/>
              <w:jc w:val="left"/>
            </w:pPr>
            <w:r>
              <w:rPr>
                <w:b/>
                <w:bCs/>
                <w:sz w:val="16"/>
              </w:rPr>
              <w:t>Ext %</w:t>
            </w:r>
          </w:p>
        </w:tc>
        <w:tc>
          <w:tcPr>
            <w:tcW w:w="840" w:type="dxa"/>
            <w:tcBorders>
              <w:bottom w:val="single" w:sz="4" w:space="0" w:color="000000"/>
            </w:tcBorders>
            <w:vAlign w:val="center"/>
          </w:tcPr>
          <w:p w14:paraId="62178E59" w14:textId="77777777" w:rsidR="00000000" w:rsidRDefault="00000000">
            <w:pPr>
              <w:spacing w:before="36" w:after="36"/>
              <w:ind w:firstLine="0"/>
              <w:jc w:val="left"/>
            </w:pPr>
            <w:r>
              <w:rPr>
                <w:b/>
                <w:bCs/>
                <w:sz w:val="16"/>
              </w:rPr>
              <w:t>CV</w:t>
            </w:r>
          </w:p>
        </w:tc>
        <w:tc>
          <w:tcPr>
            <w:tcW w:w="840" w:type="dxa"/>
            <w:tcBorders>
              <w:bottom w:val="single" w:sz="4" w:space="0" w:color="000000"/>
            </w:tcBorders>
            <w:vAlign w:val="center"/>
          </w:tcPr>
          <w:p w14:paraId="3CBCE3C5" w14:textId="77777777" w:rsidR="00000000" w:rsidRDefault="00000000">
            <w:pPr>
              <w:spacing w:before="36" w:after="36"/>
              <w:ind w:firstLine="0"/>
              <w:jc w:val="left"/>
            </w:pPr>
            <w:r>
              <w:rPr>
                <w:b/>
                <w:bCs/>
                <w:sz w:val="16"/>
              </w:rPr>
              <w:t>Rol</w:t>
            </w:r>
          </w:p>
        </w:tc>
      </w:tr>
      <w:tr w:rsidR="00000000" w14:paraId="3F33B8A5" w14:textId="77777777">
        <w:tc>
          <w:tcPr>
            <w:tcW w:w="840" w:type="dxa"/>
            <w:vAlign w:val="center"/>
          </w:tcPr>
          <w:p w14:paraId="41D4043C" w14:textId="77777777" w:rsidR="00000000" w:rsidRDefault="00000000">
            <w:pPr>
              <w:spacing w:before="36" w:after="36"/>
              <w:ind w:firstLine="0"/>
              <w:jc w:val="left"/>
            </w:pPr>
            <w:r>
              <w:rPr>
                <w:b/>
                <w:bCs/>
                <w:sz w:val="16"/>
              </w:rPr>
              <w:t>P70/P30</w:t>
            </w:r>
          </w:p>
        </w:tc>
        <w:tc>
          <w:tcPr>
            <w:tcW w:w="840" w:type="dxa"/>
            <w:vAlign w:val="center"/>
          </w:tcPr>
          <w:p w14:paraId="7DB33A8C" w14:textId="77777777" w:rsidR="00000000" w:rsidRDefault="00000000">
            <w:pPr>
              <w:spacing w:before="36" w:after="36"/>
              <w:ind w:firstLine="0"/>
              <w:jc w:val="left"/>
            </w:pPr>
            <w:r>
              <w:rPr>
                <w:sz w:val="16"/>
              </w:rPr>
              <w:t>19.4</w:t>
            </w:r>
          </w:p>
        </w:tc>
        <w:tc>
          <w:tcPr>
            <w:tcW w:w="840" w:type="dxa"/>
            <w:vAlign w:val="center"/>
          </w:tcPr>
          <w:p w14:paraId="5FDA1B5F" w14:textId="77777777" w:rsidR="00000000" w:rsidRDefault="00000000">
            <w:pPr>
              <w:spacing w:before="36" w:after="36"/>
              <w:ind w:firstLine="0"/>
              <w:jc w:val="left"/>
            </w:pPr>
            <w:r>
              <w:rPr>
                <w:sz w:val="16"/>
              </w:rPr>
              <w:t>19.8</w:t>
            </w:r>
          </w:p>
        </w:tc>
        <w:tc>
          <w:tcPr>
            <w:tcW w:w="840" w:type="dxa"/>
            <w:vAlign w:val="center"/>
          </w:tcPr>
          <w:p w14:paraId="4D58F7EF" w14:textId="77777777" w:rsidR="00000000" w:rsidRDefault="00000000">
            <w:pPr>
              <w:spacing w:before="36" w:after="36"/>
              <w:ind w:firstLine="0"/>
              <w:jc w:val="left"/>
            </w:pPr>
            <w:r>
              <w:rPr>
                <w:sz w:val="16"/>
              </w:rPr>
              <w:t>26.3</w:t>
            </w:r>
          </w:p>
        </w:tc>
        <w:tc>
          <w:tcPr>
            <w:tcW w:w="840" w:type="dxa"/>
            <w:vAlign w:val="center"/>
          </w:tcPr>
          <w:p w14:paraId="692C5F4B" w14:textId="77777777" w:rsidR="00000000" w:rsidRDefault="00000000">
            <w:pPr>
              <w:spacing w:before="36" w:after="36"/>
              <w:ind w:firstLine="0"/>
              <w:jc w:val="left"/>
            </w:pPr>
            <w:r>
              <w:rPr>
                <w:sz w:val="16"/>
              </w:rPr>
              <w:t>0.165 (mín.)</w:t>
            </w:r>
          </w:p>
        </w:tc>
        <w:tc>
          <w:tcPr>
            <w:tcW w:w="840" w:type="dxa"/>
            <w:vAlign w:val="center"/>
          </w:tcPr>
          <w:p w14:paraId="6650A76C" w14:textId="77777777" w:rsidR="00000000" w:rsidRDefault="00000000">
            <w:pPr>
              <w:spacing w:before="36" w:after="36"/>
              <w:ind w:firstLine="0"/>
              <w:jc w:val="left"/>
            </w:pPr>
            <w:r>
              <w:rPr>
                <w:sz w:val="16"/>
              </w:rPr>
              <w:t>Alerta temprana</w:t>
            </w:r>
          </w:p>
        </w:tc>
      </w:tr>
      <w:tr w:rsidR="00000000" w14:paraId="74FEE424" w14:textId="77777777">
        <w:tc>
          <w:tcPr>
            <w:tcW w:w="840" w:type="dxa"/>
            <w:vAlign w:val="center"/>
          </w:tcPr>
          <w:p w14:paraId="3E3F66B0" w14:textId="77777777" w:rsidR="00000000" w:rsidRDefault="00000000">
            <w:pPr>
              <w:spacing w:before="36" w:after="36"/>
              <w:ind w:firstLine="0"/>
              <w:jc w:val="left"/>
            </w:pPr>
            <w:r>
              <w:rPr>
                <w:b/>
                <w:bCs/>
                <w:sz w:val="16"/>
              </w:rPr>
              <w:t>P75/P25</w:t>
            </w:r>
          </w:p>
        </w:tc>
        <w:tc>
          <w:tcPr>
            <w:tcW w:w="840" w:type="dxa"/>
            <w:vAlign w:val="center"/>
          </w:tcPr>
          <w:p w14:paraId="21533220" w14:textId="77777777" w:rsidR="00000000" w:rsidRDefault="00000000">
            <w:pPr>
              <w:spacing w:before="36" w:after="36"/>
              <w:ind w:firstLine="0"/>
              <w:jc w:val="left"/>
            </w:pPr>
            <w:r>
              <w:rPr>
                <w:sz w:val="16"/>
              </w:rPr>
              <w:t>14.0</w:t>
            </w:r>
          </w:p>
        </w:tc>
        <w:tc>
          <w:tcPr>
            <w:tcW w:w="840" w:type="dxa"/>
            <w:vAlign w:val="center"/>
          </w:tcPr>
          <w:p w14:paraId="0FB6B458" w14:textId="77777777" w:rsidR="00000000" w:rsidRDefault="00000000">
            <w:pPr>
              <w:spacing w:before="36" w:after="36"/>
              <w:ind w:firstLine="0"/>
              <w:jc w:val="left"/>
            </w:pPr>
            <w:r>
              <w:rPr>
                <w:sz w:val="16"/>
              </w:rPr>
              <w:t>14.4</w:t>
            </w:r>
          </w:p>
        </w:tc>
        <w:tc>
          <w:tcPr>
            <w:tcW w:w="840" w:type="dxa"/>
            <w:vAlign w:val="center"/>
          </w:tcPr>
          <w:p w14:paraId="6F3148B7" w14:textId="77777777" w:rsidR="00000000" w:rsidRDefault="00000000">
            <w:pPr>
              <w:spacing w:before="36" w:after="36"/>
              <w:ind w:firstLine="0"/>
              <w:jc w:val="left"/>
            </w:pPr>
            <w:r>
              <w:rPr>
                <w:sz w:val="16"/>
              </w:rPr>
              <w:t>20.2</w:t>
            </w:r>
          </w:p>
        </w:tc>
        <w:tc>
          <w:tcPr>
            <w:tcW w:w="840" w:type="dxa"/>
            <w:vAlign w:val="center"/>
          </w:tcPr>
          <w:p w14:paraId="50BF8FE3" w14:textId="77777777" w:rsidR="00000000" w:rsidRDefault="00000000">
            <w:pPr>
              <w:spacing w:before="36" w:after="36"/>
              <w:ind w:firstLine="0"/>
              <w:jc w:val="left"/>
            </w:pPr>
            <w:r>
              <w:rPr>
                <w:sz w:val="16"/>
              </w:rPr>
              <w:t>0.219</w:t>
            </w:r>
          </w:p>
        </w:tc>
        <w:tc>
          <w:tcPr>
            <w:tcW w:w="840" w:type="dxa"/>
            <w:vAlign w:val="center"/>
          </w:tcPr>
          <w:p w14:paraId="5FFFD799" w14:textId="77777777" w:rsidR="00000000" w:rsidRDefault="00000000">
            <w:pPr>
              <w:spacing w:before="36" w:after="36"/>
              <w:ind w:firstLine="0"/>
              <w:jc w:val="left"/>
            </w:pPr>
            <w:r>
              <w:rPr>
                <w:sz w:val="16"/>
              </w:rPr>
              <w:t>Principal</w:t>
            </w:r>
          </w:p>
        </w:tc>
      </w:tr>
      <w:tr w:rsidR="00000000" w14:paraId="2A27B7C6" w14:textId="77777777">
        <w:tc>
          <w:tcPr>
            <w:tcW w:w="840" w:type="dxa"/>
            <w:vAlign w:val="center"/>
          </w:tcPr>
          <w:p w14:paraId="718337EE" w14:textId="77777777" w:rsidR="00000000" w:rsidRDefault="00000000">
            <w:pPr>
              <w:spacing w:before="36" w:after="36"/>
              <w:ind w:firstLine="0"/>
              <w:jc w:val="left"/>
            </w:pPr>
            <w:r>
              <w:rPr>
                <w:b/>
                <w:bCs/>
                <w:sz w:val="16"/>
              </w:rPr>
              <w:t>P80/P20</w:t>
            </w:r>
          </w:p>
        </w:tc>
        <w:tc>
          <w:tcPr>
            <w:tcW w:w="840" w:type="dxa"/>
            <w:vAlign w:val="center"/>
          </w:tcPr>
          <w:p w14:paraId="5205933B" w14:textId="77777777" w:rsidR="00000000" w:rsidRDefault="00000000">
            <w:pPr>
              <w:spacing w:before="36" w:after="36"/>
              <w:ind w:firstLine="0"/>
              <w:jc w:val="left"/>
            </w:pPr>
            <w:r>
              <w:rPr>
                <w:sz w:val="16"/>
              </w:rPr>
              <w:t>9.3</w:t>
            </w:r>
          </w:p>
        </w:tc>
        <w:tc>
          <w:tcPr>
            <w:tcW w:w="840" w:type="dxa"/>
            <w:vAlign w:val="center"/>
          </w:tcPr>
          <w:p w14:paraId="3AEE1C52" w14:textId="77777777" w:rsidR="00000000" w:rsidRDefault="00000000">
            <w:pPr>
              <w:spacing w:before="36" w:after="36"/>
              <w:ind w:firstLine="0"/>
              <w:jc w:val="left"/>
            </w:pPr>
            <w:r>
              <w:rPr>
                <w:sz w:val="16"/>
              </w:rPr>
              <w:t>9.0</w:t>
            </w:r>
          </w:p>
        </w:tc>
        <w:tc>
          <w:tcPr>
            <w:tcW w:w="840" w:type="dxa"/>
            <w:vAlign w:val="center"/>
          </w:tcPr>
          <w:p w14:paraId="5BC1401E" w14:textId="77777777" w:rsidR="00000000" w:rsidRDefault="00000000">
            <w:pPr>
              <w:spacing w:before="36" w:after="36"/>
              <w:ind w:firstLine="0"/>
              <w:jc w:val="left"/>
            </w:pPr>
            <w:r>
              <w:rPr>
                <w:sz w:val="16"/>
              </w:rPr>
              <w:t>14.3</w:t>
            </w:r>
          </w:p>
        </w:tc>
        <w:tc>
          <w:tcPr>
            <w:tcW w:w="840" w:type="dxa"/>
            <w:vAlign w:val="center"/>
          </w:tcPr>
          <w:p w14:paraId="1FC59FEF" w14:textId="77777777" w:rsidR="00000000" w:rsidRDefault="00000000">
            <w:pPr>
              <w:spacing w:before="36" w:after="36"/>
              <w:ind w:firstLine="0"/>
              <w:jc w:val="left"/>
            </w:pPr>
            <w:r>
              <w:rPr>
                <w:sz w:val="16"/>
              </w:rPr>
              <w:t>0.278</w:t>
            </w:r>
          </w:p>
        </w:tc>
        <w:tc>
          <w:tcPr>
            <w:tcW w:w="840" w:type="dxa"/>
            <w:vAlign w:val="center"/>
          </w:tcPr>
          <w:p w14:paraId="7B954FEA" w14:textId="77777777" w:rsidR="00000000" w:rsidRDefault="00000000">
            <w:pPr>
              <w:spacing w:before="36" w:after="36"/>
              <w:ind w:firstLine="0"/>
              <w:jc w:val="left"/>
            </w:pPr>
            <w:r>
              <w:rPr>
                <w:sz w:val="16"/>
              </w:rPr>
              <w:t>Estricto</w:t>
            </w:r>
          </w:p>
        </w:tc>
      </w:tr>
      <w:tr w:rsidR="00000000" w14:paraId="24AD6EA1" w14:textId="77777777">
        <w:tc>
          <w:tcPr>
            <w:tcW w:w="840" w:type="dxa"/>
            <w:vAlign w:val="center"/>
          </w:tcPr>
          <w:p w14:paraId="50C1F2D5" w14:textId="77777777" w:rsidR="00000000" w:rsidRDefault="00000000">
            <w:pPr>
              <w:spacing w:before="36" w:after="36"/>
              <w:ind w:firstLine="0"/>
              <w:jc w:val="left"/>
            </w:pPr>
            <w:r>
              <w:rPr>
                <w:b/>
                <w:bCs/>
                <w:sz w:val="16"/>
              </w:rPr>
              <w:t>P85/P15</w:t>
            </w:r>
          </w:p>
        </w:tc>
        <w:tc>
          <w:tcPr>
            <w:tcW w:w="840" w:type="dxa"/>
            <w:vAlign w:val="center"/>
          </w:tcPr>
          <w:p w14:paraId="3B8DAF4B" w14:textId="77777777" w:rsidR="00000000" w:rsidRDefault="00000000">
            <w:pPr>
              <w:spacing w:before="36" w:after="36"/>
              <w:ind w:firstLine="0"/>
              <w:jc w:val="left"/>
            </w:pPr>
            <w:r>
              <w:rPr>
                <w:sz w:val="16"/>
              </w:rPr>
              <w:t>5.3</w:t>
            </w:r>
          </w:p>
        </w:tc>
        <w:tc>
          <w:tcPr>
            <w:tcW w:w="840" w:type="dxa"/>
            <w:vAlign w:val="center"/>
          </w:tcPr>
          <w:p w14:paraId="458AA8E3" w14:textId="77777777" w:rsidR="00000000" w:rsidRDefault="00000000">
            <w:pPr>
              <w:spacing w:before="36" w:after="36"/>
              <w:ind w:firstLine="0"/>
              <w:jc w:val="left"/>
            </w:pPr>
            <w:r>
              <w:rPr>
                <w:sz w:val="16"/>
              </w:rPr>
              <w:t>5.0</w:t>
            </w:r>
          </w:p>
        </w:tc>
        <w:tc>
          <w:tcPr>
            <w:tcW w:w="840" w:type="dxa"/>
            <w:vAlign w:val="center"/>
          </w:tcPr>
          <w:p w14:paraId="737DE1BB" w14:textId="77777777" w:rsidR="00000000" w:rsidRDefault="00000000">
            <w:pPr>
              <w:spacing w:before="36" w:after="36"/>
              <w:ind w:firstLine="0"/>
              <w:jc w:val="left"/>
            </w:pPr>
            <w:r>
              <w:rPr>
                <w:sz w:val="16"/>
              </w:rPr>
              <w:t>9.3</w:t>
            </w:r>
          </w:p>
        </w:tc>
        <w:tc>
          <w:tcPr>
            <w:tcW w:w="840" w:type="dxa"/>
            <w:vAlign w:val="center"/>
          </w:tcPr>
          <w:p w14:paraId="3F49B7E6" w14:textId="77777777" w:rsidR="00000000" w:rsidRDefault="00000000">
            <w:pPr>
              <w:spacing w:before="36" w:after="36"/>
              <w:ind w:firstLine="0"/>
              <w:jc w:val="left"/>
            </w:pPr>
            <w:r>
              <w:rPr>
                <w:sz w:val="16"/>
              </w:rPr>
              <w:t>0.379 (máx.)</w:t>
            </w:r>
          </w:p>
        </w:tc>
        <w:tc>
          <w:tcPr>
            <w:tcW w:w="840" w:type="dxa"/>
            <w:vAlign w:val="center"/>
          </w:tcPr>
          <w:p w14:paraId="0A20BADD" w14:textId="77777777" w:rsidR="00000000" w:rsidRDefault="00000000">
            <w:pPr>
              <w:spacing w:before="36" w:after="36"/>
              <w:ind w:firstLine="0"/>
              <w:jc w:val="left"/>
            </w:pPr>
            <w:r>
              <w:rPr>
                <w:sz w:val="16"/>
              </w:rPr>
              <w:t>Muy estricto</w:t>
            </w:r>
          </w:p>
        </w:tc>
      </w:tr>
    </w:tbl>
    <w:p w14:paraId="2C79CEC3" w14:textId="77777777" w:rsidR="00000000" w:rsidRDefault="00000000">
      <w:pPr>
        <w:pStyle w:val="NoteTable"/>
        <w:keepLines/>
      </w:pPr>
      <w:r>
        <w:rPr>
          <w:b/>
          <w:bCs/>
        </w:rPr>
        <w:t>Nota:</w:t>
      </w:r>
      <w:r>
        <w:t xml:space="preserve"> Train % = prevalencia en entrenamiento; Test % = prevalencia en prueba 2025; Ext % = prevalencia en datos externos 2026; CV = coeficiente de variación interanual (2019–2026); Rol = interpretación operativa del escenario.</w:t>
      </w:r>
    </w:p>
    <w:p w14:paraId="57FDD220" w14:textId="77777777" w:rsidR="00000000" w:rsidRDefault="00000000">
      <w:r>
        <w:t>La prevalencia de la clase 1 en entrenamiento varía de 5.3 % (P85/P15) a 19.4 % (P70/P30), y la estabilidad temporal de la tasa de eventos —medida como coeficiente de variación (CV) entre 2019 y 2026— crece de forma monótona con la severidad del umbral (CV = 0.165 en P70/P30 hasta 0.379 en P85/P15). El escenario base (P75/P25, CV = 0.219, prevalencia train = 14.0 %) no es el más estable de los cuatro —P70/P30 lo es—, pero se retuvo para el mejor equilibrio entre severidad institucional y un balance de clases suficiente para el entrenamiento sin recurrir a remuestreo sintético, frente a la mayor rareza y varianza interanual de P80/P20 y P85/P15.</w:t>
      </w:r>
    </w:p>
    <w:p w14:paraId="3F72F3CF" w14:textId="77777777" w:rsidR="00000000" w:rsidRDefault="00000000"/>
    <w:p w14:paraId="38003267" w14:textId="77777777" w:rsidR="00000000" w:rsidRDefault="00000000">
      <w:pPr>
        <w:pStyle w:val="Ttulo3"/>
        <w:numPr>
          <w:ilvl w:val="2"/>
          <w:numId w:val="2"/>
        </w:numPr>
      </w:pPr>
      <w:r>
        <w:t>4) Ingeniería de características (Feature Engineering)</w:t>
      </w:r>
    </w:p>
    <w:p w14:paraId="7A9A69F6" w14:textId="77777777" w:rsidR="00000000" w:rsidRDefault="00000000">
      <w:r>
        <w:t xml:space="preserve">Las 14 variables derivadas responden a cuatro criterios de diseño: indicadores de presión operativa (desequilibrio entre </w:t>
      </w:r>
      <w:r>
        <w:rPr>
          <w:rStyle w:val="Variable"/>
        </w:rPr>
        <w:t>ingreso</w:t>
      </w:r>
      <w:r>
        <w:t xml:space="preserve"> y </w:t>
      </w:r>
      <w:r>
        <w:rPr>
          <w:rStyle w:val="Variable"/>
        </w:rPr>
        <w:t>atención</w:t>
      </w:r>
      <w:r>
        <w:t xml:space="preserve">), descriptores temporales ligados a la </w:t>
      </w:r>
      <w:r>
        <w:lastRenderedPageBreak/>
        <w:t>pandemia (</w:t>
      </w:r>
      <w:r>
        <w:rPr>
          <w:rStyle w:val="Variable"/>
        </w:rPr>
        <w:t>post_pandemia</w:t>
      </w:r>
      <w:r>
        <w:t xml:space="preserve">, </w:t>
      </w:r>
      <w:r>
        <w:rPr>
          <w:rStyle w:val="Variable"/>
        </w:rPr>
        <w:t>periodo_pandemia_2020</w:t>
      </w:r>
      <w:r>
        <w:t>), interacciones categóricas de segundo orden que capturan sinergias institucionales no lineales, y variables históricas rezagadas por distrito que integran medias y tasas de crecimiento previas sin incurrir en anacronismos predictivos.</w:t>
      </w:r>
    </w:p>
    <w:p w14:paraId="10E00CB0" w14:textId="77777777" w:rsidR="00000000" w:rsidRDefault="00000000">
      <w:pPr>
        <w:pStyle w:val="Ttulo3"/>
        <w:numPr>
          <w:ilvl w:val="2"/>
          <w:numId w:val="2"/>
        </w:numPr>
      </w:pPr>
      <w:r>
        <w:t>5) Control de fuga de información (Leakage)</w:t>
      </w:r>
    </w:p>
    <w:p w14:paraId="7E537B66" w14:textId="77777777" w:rsidR="00000000" w:rsidRDefault="00000000">
      <w:r>
        <w:t>Debido a que el objetivo (</w:t>
      </w:r>
      <w:r>
        <w:rPr>
          <w:rStyle w:val="Variable"/>
        </w:rPr>
        <w:t>riesgo_congestion</w:t>
      </w:r>
      <w:r>
        <w:t xml:space="preserve">) se construye directamente a partir de ingresos y atenciones, estos atributos —ingresado, atendido, y sus derivados </w:t>
      </w:r>
      <w:r>
        <w:rPr>
          <w:rStyle w:val="Variable"/>
        </w:rPr>
        <w:t>saldo_casos</w:t>
      </w:r>
      <w:r>
        <w:t xml:space="preserve">, </w:t>
      </w:r>
      <w:r>
        <w:rPr>
          <w:rStyle w:val="Variable"/>
        </w:rPr>
        <w:t>tasa_atencion</w:t>
      </w:r>
      <w:r>
        <w:t xml:space="preserve"> y </w:t>
      </w:r>
      <w:r>
        <w:rPr>
          <w:rStyle w:val="Variable"/>
        </w:rPr>
        <w:t>ratio_saldo</w:t>
      </w:r>
      <w:r>
        <w:t xml:space="preserve"> (</w:t>
      </w:r>
      <w:r>
        <w:rPr>
          <w:rStyle w:val="Variable"/>
        </w:rPr>
        <w:t>LEAKAGE_COLS</w:t>
      </w:r>
      <w:r>
        <w:t xml:space="preserve">)— se aislaron mediante una lista de exclusión estricta, junto con metadatos no predictivos y las columnas de los cuatro escenarios proxy alternativos. Adicionalmente, </w:t>
      </w:r>
      <w:r>
        <w:rPr>
          <w:rStyle w:val="Variable"/>
        </w:rPr>
        <w:t>anio_centrado</w:t>
      </w:r>
      <w:r>
        <w:t xml:space="preserve"> se excluyó de la matriz de candidatas por colinealidad directa con el año calendario (</w:t>
      </w:r>
      <w:r>
        <w:rPr>
          <w:rStyle w:val="Variable"/>
        </w:rPr>
        <w:t>COLLINEAR_EXCLUDE</w:t>
      </w:r>
      <w:r>
        <w:t>).</w:t>
      </w:r>
    </w:p>
    <w:p w14:paraId="63B1F27C" w14:textId="77777777" w:rsidR="00000000" w:rsidRDefault="00000000">
      <w:pPr>
        <w:pStyle w:val="Ttulo3"/>
        <w:numPr>
          <w:ilvl w:val="2"/>
          <w:numId w:val="2"/>
        </w:numPr>
      </w:pPr>
      <w:r>
        <w:t>6) Selección de variables (Feature Selection)</w:t>
      </w:r>
    </w:p>
    <w:p w14:paraId="3CB077C2" w14:textId="77777777" w:rsidR="00000000" w:rsidRDefault="00000000">
      <w:pPr>
        <w:rPr>
          <w:sz w:val="12"/>
          <w:szCs w:val="12"/>
        </w:rPr>
      </w:pPr>
      <w:r>
        <w:t>Se ejecutó un análisis de posible multicolinealidad utilizando el coeficiente de Pearson (r &gt; 0.90) para variables numéricas y la V de Cramér (&gt; 0.80) para variables categóricas (Figuras 2-3).</w:t>
      </w:r>
    </w:p>
    <w:p w14:paraId="58EF18DA" w14:textId="77777777" w:rsidR="00000000" w:rsidRDefault="00000000">
      <w:pPr>
        <w:rPr>
          <w:sz w:val="12"/>
          <w:szCs w:val="12"/>
        </w:rPr>
      </w:pPr>
    </w:p>
    <w:p w14:paraId="6799590E" w14:textId="77777777" w:rsidR="00000000" w:rsidRDefault="00000000">
      <w:pPr>
        <w:ind w:firstLine="851"/>
        <w:rPr>
          <w:b/>
        </w:rPr>
      </w:pPr>
      <w:r>
        <w:pict w14:anchorId="0E387C78">
          <v:shape id="_x0000_i1029" type="#_x0000_t75" style="width:160.8pt;height:132.6pt" filled="t">
            <v:fill color2="black"/>
            <v:imagedata r:id="rId16" o:title="" croptop="-10f" cropbottom="-10f" cropleft="7805f" cropright="-7f"/>
          </v:shape>
        </w:pict>
      </w:r>
    </w:p>
    <w:p w14:paraId="00FA6394"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2</w:t>
      </w:r>
      <w:r>
        <w:rPr>
          <w:b/>
          <w:bCs w:val="0"/>
        </w:rPr>
        <w:fldChar w:fldCharType="end"/>
      </w:r>
      <w:r>
        <w:rPr>
          <w:b/>
          <w:bCs w:val="0"/>
          <w:lang w:val="es-PE"/>
        </w:rPr>
        <w:t>.</w:t>
      </w:r>
      <w:r>
        <w:rPr>
          <w:lang w:val="es-PE"/>
        </w:rPr>
        <w:t xml:space="preserve"> Correlación de Pearson entre variables númericas.</w:t>
      </w:r>
    </w:p>
    <w:p w14:paraId="20CAD10D" w14:textId="77777777" w:rsidR="00000000" w:rsidRDefault="00000000">
      <w:pPr>
        <w:ind w:firstLine="1020"/>
        <w:rPr>
          <w:b/>
        </w:rPr>
      </w:pPr>
      <w:r>
        <w:pict w14:anchorId="280BB2D4">
          <v:shape id="_x0000_i1030" type="#_x0000_t75" style="width:147.6pt;height:117.6pt" filled="t">
            <v:fill color2="black"/>
            <v:imagedata r:id="rId17" o:title="" croptop="-10f" cropbottom="-10f" cropleft="8016f" cropright="-7f"/>
          </v:shape>
        </w:pict>
      </w:r>
    </w:p>
    <w:p w14:paraId="1FC2A09D"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3</w:t>
      </w:r>
      <w:r>
        <w:rPr>
          <w:b/>
          <w:bCs w:val="0"/>
        </w:rPr>
        <w:fldChar w:fldCharType="end"/>
      </w:r>
      <w:r>
        <w:rPr>
          <w:b/>
          <w:bCs w:val="0"/>
          <w:lang w:val="es-PE"/>
        </w:rPr>
        <w:t>.</w:t>
      </w:r>
      <w:r>
        <w:rPr>
          <w:lang w:val="es-PE"/>
        </w:rPr>
        <w:t xml:space="preserve"> Correlación Cramer’s V entre variables categóricas.</w:t>
      </w:r>
    </w:p>
    <w:p w14:paraId="0898718E" w14:textId="77777777" w:rsidR="00000000" w:rsidRDefault="00000000">
      <w:pPr>
        <w:rPr>
          <w:b/>
        </w:rPr>
      </w:pPr>
      <w:r>
        <w:t>Después, se implementaron seis métodos de selección complementarios —dos filtros continuos, un filtro categórico, un método embebido y dos métodos de tipo wrapper (Tabla V)—, cada uno operando bajo el mismo esquema de validación cruzada temporal por bloques anuales.</w:t>
      </w:r>
    </w:p>
    <w:p w14:paraId="5B490D7E"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V</w:t>
      </w:r>
      <w:r>
        <w:rPr>
          <w:b/>
          <w:bCs w:val="0"/>
        </w:rPr>
        <w:fldChar w:fldCharType="end"/>
      </w:r>
      <w:r>
        <w:rPr>
          <w:b/>
        </w:rPr>
        <w:t xml:space="preserve">. </w:t>
      </w:r>
      <w:r>
        <w:rPr>
          <w:bCs w:val="0"/>
        </w:rPr>
        <w:t>Métodos De Selección De Variables Evaluados</w:t>
      </w:r>
    </w:p>
    <w:tbl>
      <w:tblPr>
        <w:tblW w:w="5000" w:type="pct"/>
        <w:jc w:val="center"/>
        <w:tblLayout w:type="fixed"/>
        <w:tblLook w:val="0000" w:firstRow="0" w:lastRow="0" w:firstColumn="0" w:lastColumn="0" w:noHBand="0" w:noVBand="0"/>
      </w:tblPr>
      <w:tblGrid>
        <w:gridCol w:w="1752"/>
        <w:gridCol w:w="1752"/>
        <w:gridCol w:w="1752"/>
      </w:tblGrid>
      <w:tr w:rsidR="00000000" w14:paraId="2AE28709" w14:textId="77777777">
        <w:trPr>
          <w:tblHeader/>
          <w:jc w:val="center"/>
        </w:trPr>
        <w:tc>
          <w:tcPr>
            <w:tcW w:w="1680" w:type="dxa"/>
            <w:tcBorders>
              <w:bottom w:val="single" w:sz="4" w:space="0" w:color="000000"/>
            </w:tcBorders>
            <w:vAlign w:val="center"/>
          </w:tcPr>
          <w:p w14:paraId="1C97861C" w14:textId="77777777" w:rsidR="00000000" w:rsidRDefault="00000000">
            <w:pPr>
              <w:spacing w:before="36" w:after="36"/>
              <w:ind w:firstLine="0"/>
              <w:jc w:val="left"/>
            </w:pPr>
            <w:r>
              <w:rPr>
                <w:b/>
                <w:bCs/>
                <w:sz w:val="16"/>
              </w:rPr>
              <w:t>Método</w:t>
            </w:r>
          </w:p>
        </w:tc>
        <w:tc>
          <w:tcPr>
            <w:tcW w:w="1680" w:type="dxa"/>
            <w:tcBorders>
              <w:bottom w:val="single" w:sz="4" w:space="0" w:color="000000"/>
            </w:tcBorders>
            <w:vAlign w:val="center"/>
          </w:tcPr>
          <w:p w14:paraId="7C00AE8B" w14:textId="77777777" w:rsidR="00000000" w:rsidRDefault="00000000">
            <w:pPr>
              <w:spacing w:before="36" w:after="36"/>
              <w:ind w:firstLine="0"/>
              <w:jc w:val="left"/>
            </w:pPr>
            <w:r>
              <w:rPr>
                <w:b/>
                <w:bCs/>
                <w:sz w:val="16"/>
              </w:rPr>
              <w:t>Tipo</w:t>
            </w:r>
          </w:p>
        </w:tc>
        <w:tc>
          <w:tcPr>
            <w:tcW w:w="1680" w:type="dxa"/>
            <w:tcBorders>
              <w:bottom w:val="single" w:sz="4" w:space="0" w:color="000000"/>
            </w:tcBorders>
            <w:vAlign w:val="center"/>
          </w:tcPr>
          <w:p w14:paraId="41350A8C" w14:textId="77777777" w:rsidR="00000000" w:rsidRDefault="00000000">
            <w:pPr>
              <w:spacing w:before="36" w:after="36"/>
              <w:ind w:firstLine="0"/>
              <w:jc w:val="left"/>
            </w:pPr>
            <w:r>
              <w:rPr>
                <w:b/>
                <w:bCs/>
                <w:sz w:val="16"/>
              </w:rPr>
              <w:t>N.º vars (de 433)</w:t>
            </w:r>
          </w:p>
        </w:tc>
      </w:tr>
      <w:tr w:rsidR="00000000" w14:paraId="5DD0A246" w14:textId="77777777">
        <w:trPr>
          <w:jc w:val="center"/>
        </w:trPr>
        <w:tc>
          <w:tcPr>
            <w:tcW w:w="1680" w:type="dxa"/>
            <w:vAlign w:val="center"/>
          </w:tcPr>
          <w:p w14:paraId="4F632681" w14:textId="77777777" w:rsidR="00000000" w:rsidRDefault="00000000">
            <w:pPr>
              <w:spacing w:before="36" w:after="36"/>
              <w:ind w:firstLine="0"/>
              <w:jc w:val="left"/>
            </w:pPr>
            <w:r>
              <w:rPr>
                <w:sz w:val="16"/>
              </w:rPr>
              <w:t>Información mutua</w:t>
            </w:r>
          </w:p>
        </w:tc>
        <w:tc>
          <w:tcPr>
            <w:tcW w:w="1680" w:type="dxa"/>
            <w:vAlign w:val="center"/>
          </w:tcPr>
          <w:p w14:paraId="29C91295" w14:textId="77777777" w:rsidR="00000000" w:rsidRDefault="00000000">
            <w:pPr>
              <w:spacing w:before="36" w:after="36"/>
              <w:ind w:firstLine="0"/>
              <w:jc w:val="left"/>
            </w:pPr>
            <w:r>
              <w:rPr>
                <w:sz w:val="16"/>
              </w:rPr>
              <w:t>Filtro (continuo)</w:t>
            </w:r>
          </w:p>
        </w:tc>
        <w:tc>
          <w:tcPr>
            <w:tcW w:w="1680" w:type="dxa"/>
            <w:vAlign w:val="center"/>
          </w:tcPr>
          <w:p w14:paraId="21DAB14D" w14:textId="77777777" w:rsidR="00000000" w:rsidRDefault="00000000">
            <w:pPr>
              <w:spacing w:before="36" w:after="36"/>
              <w:ind w:firstLine="0"/>
              <w:jc w:val="left"/>
            </w:pPr>
            <w:r>
              <w:rPr>
                <w:sz w:val="16"/>
              </w:rPr>
              <w:t>40</w:t>
            </w:r>
          </w:p>
        </w:tc>
      </w:tr>
      <w:tr w:rsidR="00000000" w14:paraId="2AF52314" w14:textId="77777777">
        <w:trPr>
          <w:jc w:val="center"/>
        </w:trPr>
        <w:tc>
          <w:tcPr>
            <w:tcW w:w="1680" w:type="dxa"/>
            <w:vAlign w:val="center"/>
          </w:tcPr>
          <w:p w14:paraId="27EE4653" w14:textId="77777777" w:rsidR="00000000" w:rsidRDefault="00000000">
            <w:pPr>
              <w:spacing w:before="36" w:after="36"/>
              <w:ind w:firstLine="0"/>
              <w:jc w:val="left"/>
            </w:pPr>
            <w:r>
              <w:rPr>
                <w:sz w:val="16"/>
              </w:rPr>
              <w:t>ANOVA F-test</w:t>
            </w:r>
          </w:p>
        </w:tc>
        <w:tc>
          <w:tcPr>
            <w:tcW w:w="1680" w:type="dxa"/>
            <w:vAlign w:val="center"/>
          </w:tcPr>
          <w:p w14:paraId="7B0CB165" w14:textId="77777777" w:rsidR="00000000" w:rsidRDefault="00000000">
            <w:pPr>
              <w:spacing w:before="36" w:after="36"/>
              <w:ind w:firstLine="0"/>
              <w:jc w:val="left"/>
            </w:pPr>
            <w:r>
              <w:rPr>
                <w:sz w:val="16"/>
              </w:rPr>
              <w:t>Filtro (continuo)</w:t>
            </w:r>
          </w:p>
        </w:tc>
        <w:tc>
          <w:tcPr>
            <w:tcW w:w="1680" w:type="dxa"/>
            <w:vAlign w:val="center"/>
          </w:tcPr>
          <w:p w14:paraId="30FE6854" w14:textId="77777777" w:rsidR="00000000" w:rsidRDefault="00000000">
            <w:pPr>
              <w:spacing w:before="36" w:after="36"/>
              <w:ind w:firstLine="0"/>
              <w:jc w:val="left"/>
            </w:pPr>
            <w:r>
              <w:rPr>
                <w:sz w:val="16"/>
              </w:rPr>
              <w:t>40</w:t>
            </w:r>
          </w:p>
        </w:tc>
      </w:tr>
      <w:tr w:rsidR="00000000" w14:paraId="42A50132" w14:textId="77777777">
        <w:trPr>
          <w:jc w:val="center"/>
        </w:trPr>
        <w:tc>
          <w:tcPr>
            <w:tcW w:w="1680" w:type="dxa"/>
            <w:vAlign w:val="center"/>
          </w:tcPr>
          <w:p w14:paraId="194F7176" w14:textId="77777777" w:rsidR="00000000" w:rsidRDefault="00000000">
            <w:pPr>
              <w:spacing w:before="36" w:after="36"/>
              <w:ind w:firstLine="0"/>
              <w:jc w:val="left"/>
            </w:pPr>
            <w:r>
              <w:rPr>
                <w:sz w:val="16"/>
              </w:rPr>
              <w:t>χ²</w:t>
            </w:r>
          </w:p>
        </w:tc>
        <w:tc>
          <w:tcPr>
            <w:tcW w:w="1680" w:type="dxa"/>
            <w:vAlign w:val="center"/>
          </w:tcPr>
          <w:p w14:paraId="17C08261" w14:textId="77777777" w:rsidR="00000000" w:rsidRDefault="00000000">
            <w:pPr>
              <w:spacing w:before="36" w:after="36"/>
              <w:ind w:firstLine="0"/>
              <w:jc w:val="left"/>
            </w:pPr>
            <w:r>
              <w:rPr>
                <w:sz w:val="16"/>
              </w:rPr>
              <w:t>Filtro (categórico)</w:t>
            </w:r>
          </w:p>
        </w:tc>
        <w:tc>
          <w:tcPr>
            <w:tcW w:w="1680" w:type="dxa"/>
            <w:vAlign w:val="center"/>
          </w:tcPr>
          <w:p w14:paraId="4F5673CB" w14:textId="77777777" w:rsidR="00000000" w:rsidRDefault="00000000">
            <w:pPr>
              <w:spacing w:before="36" w:after="36"/>
              <w:ind w:firstLine="0"/>
              <w:jc w:val="left"/>
            </w:pPr>
            <w:r>
              <w:rPr>
                <w:sz w:val="16"/>
              </w:rPr>
              <w:t>40</w:t>
            </w:r>
          </w:p>
        </w:tc>
      </w:tr>
      <w:tr w:rsidR="00000000" w14:paraId="6F640F12" w14:textId="77777777">
        <w:trPr>
          <w:jc w:val="center"/>
        </w:trPr>
        <w:tc>
          <w:tcPr>
            <w:tcW w:w="1680" w:type="dxa"/>
            <w:vAlign w:val="center"/>
          </w:tcPr>
          <w:p w14:paraId="4F2BBBD2" w14:textId="77777777" w:rsidR="00000000" w:rsidRDefault="00000000">
            <w:pPr>
              <w:spacing w:before="36" w:after="36"/>
              <w:ind w:firstLine="0"/>
              <w:jc w:val="left"/>
            </w:pPr>
            <w:r>
              <w:rPr>
                <w:sz w:val="16"/>
              </w:rPr>
              <w:t>Random Forest</w:t>
            </w:r>
          </w:p>
        </w:tc>
        <w:tc>
          <w:tcPr>
            <w:tcW w:w="1680" w:type="dxa"/>
            <w:vAlign w:val="center"/>
          </w:tcPr>
          <w:p w14:paraId="5BD14D44" w14:textId="77777777" w:rsidR="00000000" w:rsidRDefault="00000000">
            <w:pPr>
              <w:spacing w:before="36" w:after="36"/>
              <w:ind w:firstLine="0"/>
              <w:jc w:val="left"/>
            </w:pPr>
            <w:r>
              <w:rPr>
                <w:sz w:val="16"/>
              </w:rPr>
              <w:t>Embebido</w:t>
            </w:r>
          </w:p>
        </w:tc>
        <w:tc>
          <w:tcPr>
            <w:tcW w:w="1680" w:type="dxa"/>
            <w:vAlign w:val="center"/>
          </w:tcPr>
          <w:p w14:paraId="078E0BB7" w14:textId="77777777" w:rsidR="00000000" w:rsidRDefault="00000000">
            <w:pPr>
              <w:spacing w:before="36" w:after="36"/>
              <w:ind w:firstLine="0"/>
              <w:jc w:val="left"/>
            </w:pPr>
            <w:r>
              <w:rPr>
                <w:sz w:val="16"/>
              </w:rPr>
              <w:t>40</w:t>
            </w:r>
          </w:p>
        </w:tc>
      </w:tr>
      <w:tr w:rsidR="00000000" w14:paraId="0A038125" w14:textId="77777777">
        <w:trPr>
          <w:jc w:val="center"/>
        </w:trPr>
        <w:tc>
          <w:tcPr>
            <w:tcW w:w="1680" w:type="dxa"/>
            <w:vAlign w:val="center"/>
          </w:tcPr>
          <w:p w14:paraId="6CA30A17" w14:textId="77777777" w:rsidR="00000000" w:rsidRDefault="00000000">
            <w:pPr>
              <w:spacing w:before="36" w:after="36"/>
              <w:ind w:firstLine="0"/>
              <w:jc w:val="left"/>
            </w:pPr>
            <w:r>
              <w:rPr>
                <w:sz w:val="16"/>
              </w:rPr>
              <w:t>Boruta</w:t>
            </w:r>
          </w:p>
        </w:tc>
        <w:tc>
          <w:tcPr>
            <w:tcW w:w="1680" w:type="dxa"/>
            <w:vAlign w:val="center"/>
          </w:tcPr>
          <w:p w14:paraId="45C70B91" w14:textId="77777777" w:rsidR="00000000" w:rsidRDefault="00000000">
            <w:pPr>
              <w:spacing w:before="36" w:after="36"/>
              <w:ind w:firstLine="0"/>
              <w:jc w:val="left"/>
            </w:pPr>
            <w:r>
              <w:rPr>
                <w:sz w:val="16"/>
              </w:rPr>
              <w:t>Wrapper (</w:t>
            </w:r>
            <w:r>
              <w:rPr>
                <w:i/>
                <w:iCs/>
                <w:sz w:val="16"/>
              </w:rPr>
              <w:t>all-relevant</w:t>
            </w:r>
            <w:r>
              <w:rPr>
                <w:sz w:val="16"/>
              </w:rPr>
              <w:t>)</w:t>
            </w:r>
          </w:p>
        </w:tc>
        <w:tc>
          <w:tcPr>
            <w:tcW w:w="1680" w:type="dxa"/>
            <w:vAlign w:val="center"/>
          </w:tcPr>
          <w:p w14:paraId="00139338" w14:textId="77777777" w:rsidR="00000000" w:rsidRDefault="00000000">
            <w:pPr>
              <w:spacing w:before="36" w:after="36"/>
              <w:ind w:firstLine="0"/>
              <w:jc w:val="left"/>
            </w:pPr>
            <w:r>
              <w:rPr>
                <w:sz w:val="16"/>
              </w:rPr>
              <w:t>12</w:t>
            </w:r>
          </w:p>
        </w:tc>
      </w:tr>
      <w:tr w:rsidR="00000000" w14:paraId="778F952F" w14:textId="77777777">
        <w:trPr>
          <w:jc w:val="center"/>
        </w:trPr>
        <w:tc>
          <w:tcPr>
            <w:tcW w:w="1680" w:type="dxa"/>
            <w:vAlign w:val="center"/>
          </w:tcPr>
          <w:p w14:paraId="437E2BF4" w14:textId="77777777" w:rsidR="00000000" w:rsidRDefault="00000000">
            <w:pPr>
              <w:spacing w:before="36" w:after="36"/>
              <w:ind w:firstLine="0"/>
              <w:jc w:val="left"/>
            </w:pPr>
            <w:r>
              <w:rPr>
                <w:sz w:val="16"/>
              </w:rPr>
              <w:t>RFECV</w:t>
            </w:r>
          </w:p>
        </w:tc>
        <w:tc>
          <w:tcPr>
            <w:tcW w:w="1680" w:type="dxa"/>
            <w:vAlign w:val="center"/>
          </w:tcPr>
          <w:p w14:paraId="5A690A06" w14:textId="77777777" w:rsidR="00000000" w:rsidRDefault="00000000">
            <w:pPr>
              <w:spacing w:before="36" w:after="36"/>
              <w:ind w:firstLine="0"/>
              <w:jc w:val="left"/>
            </w:pPr>
            <w:r>
              <w:rPr>
                <w:sz w:val="16"/>
              </w:rPr>
              <w:t>Wrapper (recursivo + CV temporal)</w:t>
            </w:r>
          </w:p>
        </w:tc>
        <w:tc>
          <w:tcPr>
            <w:tcW w:w="1680" w:type="dxa"/>
            <w:vAlign w:val="center"/>
          </w:tcPr>
          <w:p w14:paraId="0AB25C67" w14:textId="77777777" w:rsidR="00000000" w:rsidRDefault="00000000">
            <w:pPr>
              <w:spacing w:before="36" w:after="36"/>
              <w:ind w:firstLine="0"/>
              <w:jc w:val="left"/>
            </w:pPr>
            <w:r>
              <w:rPr>
                <w:sz w:val="16"/>
              </w:rPr>
              <w:t>52</w:t>
            </w:r>
          </w:p>
        </w:tc>
      </w:tr>
    </w:tbl>
    <w:p w14:paraId="5A5B2E00" w14:textId="77777777" w:rsidR="00000000" w:rsidRDefault="00000000"/>
    <w:p w14:paraId="77008EA3" w14:textId="77777777" w:rsidR="00000000" w:rsidRDefault="00000000">
      <w:r>
        <w:t xml:space="preserve">El consenso entre métodos se formaliza mediante la Ecuación 2, donde cada término representa el voto binario del método correspondiente (1 si selecciona la variable </w:t>
      </w:r>
      <w:r>
        <w:rPr>
          <w:i/>
          <w:iCs/>
        </w:rPr>
        <w:t>i</w:t>
      </w:r>
      <w:r>
        <w:t>, 0 si no).</w:t>
      </w:r>
    </w:p>
    <w:p w14:paraId="6B6CFED8" w14:textId="77777777" w:rsidR="00000000" w:rsidRDefault="00000000"/>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4466"/>
        <w:gridCol w:w="344"/>
      </w:tblGrid>
      <w:tr w:rsidR="00000000" w14:paraId="028B7BFA" w14:textId="77777777">
        <w:trPr>
          <w:jc w:val="center"/>
        </w:trPr>
        <w:tc>
          <w:tcPr>
            <w:tcW w:w="4466" w:type="dxa"/>
            <w:vAlign w:val="center"/>
          </w:tcPr>
          <w:p w14:paraId="4F799995" w14:textId="77777777" w:rsidR="00000000" w:rsidRDefault="00000000">
            <w:pPr>
              <w:pStyle w:val="Contenidodelatabla"/>
              <w:ind w:firstLine="0"/>
              <w:jc w:val="center"/>
            </w:pPr>
            <w:r>
              <w:rPr>
                <w:lang w:val="es-PE" w:eastAsia="es-PE"/>
              </w:rPr>
              <w:pict w14:anchorId="63D8416F">
                <v:shape id="_x0000_i1031" type="#_x0000_t75" style="width:217.8pt;height:16.8pt" filled="t">
                  <v:fill color2="black"/>
                  <v:imagedata r:id="rId18" o:title="" croptop="-210f" cropbottom="-210f" cropleft="-16f" cropright="-16f"/>
                </v:shape>
              </w:pict>
            </w:r>
          </w:p>
        </w:tc>
        <w:tc>
          <w:tcPr>
            <w:tcW w:w="344" w:type="dxa"/>
            <w:vAlign w:val="center"/>
          </w:tcPr>
          <w:p w14:paraId="0705BF60" w14:textId="77777777" w:rsidR="00000000" w:rsidRDefault="00000000">
            <w:pPr>
              <w:pStyle w:val="Contenidodelatabla"/>
              <w:ind w:firstLine="0"/>
              <w:jc w:val="center"/>
            </w:pPr>
            <w:r>
              <w:t>(</w:t>
            </w:r>
            <w:fldSimple w:instr=" SEQ &quot;Ecu&quot; \* ARABIC ">
              <w:r>
                <w:t>2</w:t>
              </w:r>
            </w:fldSimple>
            <w:r>
              <w:t>)</w:t>
            </w:r>
          </w:p>
        </w:tc>
      </w:tr>
    </w:tbl>
    <w:p w14:paraId="3C1FDED7" w14:textId="77777777" w:rsidR="00000000" w:rsidRDefault="00000000"/>
    <w:p w14:paraId="2DB4C0B7" w14:textId="77777777" w:rsidR="00000000" w:rsidRDefault="00000000">
      <w:pPr>
        <w:rPr>
          <w:b/>
        </w:rPr>
      </w:pPr>
      <w:r>
        <w:t>Las variables definitivas se determinaron mediante un mecanismo de consenso por votación con umbral mínimo de 2 de 6 métodos, consolidando un subconjunto de 69 variables finales (Tabla VI).</w:t>
      </w:r>
    </w:p>
    <w:p w14:paraId="0A51F876"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VI</w:t>
      </w:r>
      <w:r>
        <w:rPr>
          <w:b/>
          <w:bCs w:val="0"/>
        </w:rPr>
        <w:fldChar w:fldCharType="end"/>
      </w:r>
      <w:r>
        <w:rPr>
          <w:b/>
          <w:bCs w:val="0"/>
        </w:rPr>
        <w:t>.</w:t>
      </w:r>
      <w:r>
        <w:rPr>
          <w:b/>
        </w:rPr>
        <w:t xml:space="preserve"> </w:t>
      </w:r>
      <w:r>
        <w:rPr>
          <w:bCs w:val="0"/>
        </w:rPr>
        <w:t xml:space="preserve">Distribución De Votos Del Consenso </w:t>
      </w:r>
      <w:r>
        <w:rPr>
          <w:bCs w:val="0"/>
        </w:rPr>
        <w:br/>
        <w:t>y Variables Retenidas</w:t>
      </w:r>
    </w:p>
    <w:tbl>
      <w:tblPr>
        <w:tblW w:w="0" w:type="auto"/>
        <w:jc w:val="center"/>
        <w:tblLayout w:type="fixed"/>
        <w:tblLook w:val="0000" w:firstRow="0" w:lastRow="0" w:firstColumn="0" w:lastColumn="0" w:noHBand="0" w:noVBand="0"/>
      </w:tblPr>
      <w:tblGrid>
        <w:gridCol w:w="2113"/>
        <w:gridCol w:w="1087"/>
        <w:gridCol w:w="1359"/>
      </w:tblGrid>
      <w:tr w:rsidR="00000000" w14:paraId="66DAD260" w14:textId="77777777">
        <w:trPr>
          <w:tblHeader/>
          <w:jc w:val="center"/>
        </w:trPr>
        <w:tc>
          <w:tcPr>
            <w:tcW w:w="2113" w:type="dxa"/>
            <w:tcBorders>
              <w:bottom w:val="single" w:sz="4" w:space="0" w:color="000000"/>
            </w:tcBorders>
            <w:vAlign w:val="center"/>
          </w:tcPr>
          <w:p w14:paraId="05B58164" w14:textId="77777777" w:rsidR="00000000" w:rsidRDefault="00000000">
            <w:pPr>
              <w:spacing w:before="36" w:after="36"/>
              <w:ind w:firstLine="0"/>
              <w:jc w:val="left"/>
            </w:pPr>
            <w:r>
              <w:rPr>
                <w:b/>
                <w:bCs/>
                <w:sz w:val="16"/>
              </w:rPr>
              <w:t>Votos (de 6 métodos)</w:t>
            </w:r>
          </w:p>
        </w:tc>
        <w:tc>
          <w:tcPr>
            <w:tcW w:w="1087" w:type="dxa"/>
            <w:tcBorders>
              <w:bottom w:val="single" w:sz="4" w:space="0" w:color="000000"/>
            </w:tcBorders>
            <w:vAlign w:val="center"/>
          </w:tcPr>
          <w:p w14:paraId="1F31877C" w14:textId="77777777" w:rsidR="00000000" w:rsidRDefault="00000000">
            <w:pPr>
              <w:spacing w:before="36" w:after="36"/>
              <w:ind w:firstLine="0"/>
              <w:jc w:val="left"/>
            </w:pPr>
            <w:r>
              <w:rPr>
                <w:b/>
                <w:bCs/>
                <w:sz w:val="16"/>
              </w:rPr>
              <w:t>N.º vars</w:t>
            </w:r>
          </w:p>
        </w:tc>
        <w:tc>
          <w:tcPr>
            <w:tcW w:w="1359" w:type="dxa"/>
            <w:tcBorders>
              <w:bottom w:val="single" w:sz="4" w:space="0" w:color="000000"/>
            </w:tcBorders>
            <w:vAlign w:val="center"/>
          </w:tcPr>
          <w:p w14:paraId="4A2775B1" w14:textId="77777777" w:rsidR="00000000" w:rsidRDefault="00000000">
            <w:pPr>
              <w:spacing w:before="36" w:after="36"/>
              <w:ind w:firstLine="0"/>
              <w:jc w:val="left"/>
            </w:pPr>
            <w:r>
              <w:rPr>
                <w:b/>
                <w:bCs/>
                <w:sz w:val="16"/>
              </w:rPr>
              <w:t>% total (433)</w:t>
            </w:r>
          </w:p>
        </w:tc>
      </w:tr>
      <w:tr w:rsidR="00000000" w14:paraId="2655DD66" w14:textId="77777777">
        <w:trPr>
          <w:jc w:val="center"/>
        </w:trPr>
        <w:tc>
          <w:tcPr>
            <w:tcW w:w="2113" w:type="dxa"/>
            <w:vAlign w:val="center"/>
          </w:tcPr>
          <w:p w14:paraId="73C5AD39" w14:textId="77777777" w:rsidR="00000000" w:rsidRDefault="00000000">
            <w:pPr>
              <w:spacing w:before="34"/>
              <w:ind w:firstLine="0"/>
              <w:jc w:val="left"/>
            </w:pPr>
            <w:r>
              <w:rPr>
                <w:sz w:val="16"/>
              </w:rPr>
              <w:t>6/6 (unanimidad)</w:t>
            </w:r>
          </w:p>
        </w:tc>
        <w:tc>
          <w:tcPr>
            <w:tcW w:w="1087" w:type="dxa"/>
            <w:vAlign w:val="center"/>
          </w:tcPr>
          <w:p w14:paraId="019369AF" w14:textId="77777777" w:rsidR="00000000" w:rsidRDefault="00000000">
            <w:pPr>
              <w:spacing w:before="34"/>
              <w:ind w:firstLine="0"/>
              <w:jc w:val="left"/>
            </w:pPr>
            <w:r>
              <w:rPr>
                <w:sz w:val="16"/>
              </w:rPr>
              <w:t>3</w:t>
            </w:r>
          </w:p>
        </w:tc>
        <w:tc>
          <w:tcPr>
            <w:tcW w:w="1359" w:type="dxa"/>
            <w:vAlign w:val="center"/>
          </w:tcPr>
          <w:p w14:paraId="0F4A095D" w14:textId="77777777" w:rsidR="00000000" w:rsidRDefault="00000000">
            <w:pPr>
              <w:spacing w:before="34"/>
              <w:ind w:firstLine="0"/>
              <w:jc w:val="left"/>
            </w:pPr>
            <w:r>
              <w:rPr>
                <w:sz w:val="16"/>
              </w:rPr>
              <w:t>0.7 %</w:t>
            </w:r>
          </w:p>
        </w:tc>
      </w:tr>
      <w:tr w:rsidR="00000000" w14:paraId="67F08D15" w14:textId="77777777">
        <w:trPr>
          <w:jc w:val="center"/>
        </w:trPr>
        <w:tc>
          <w:tcPr>
            <w:tcW w:w="2113" w:type="dxa"/>
            <w:vAlign w:val="center"/>
          </w:tcPr>
          <w:p w14:paraId="471B6244" w14:textId="77777777" w:rsidR="00000000" w:rsidRDefault="00000000">
            <w:pPr>
              <w:spacing w:before="34"/>
              <w:ind w:firstLine="0"/>
              <w:jc w:val="left"/>
            </w:pPr>
            <w:r>
              <w:rPr>
                <w:sz w:val="16"/>
              </w:rPr>
              <w:t>5/6</w:t>
            </w:r>
          </w:p>
        </w:tc>
        <w:tc>
          <w:tcPr>
            <w:tcW w:w="1087" w:type="dxa"/>
            <w:vAlign w:val="center"/>
          </w:tcPr>
          <w:p w14:paraId="0095A27C" w14:textId="77777777" w:rsidR="00000000" w:rsidRDefault="00000000">
            <w:pPr>
              <w:spacing w:before="34"/>
              <w:ind w:firstLine="0"/>
              <w:jc w:val="left"/>
            </w:pPr>
            <w:r>
              <w:rPr>
                <w:sz w:val="16"/>
              </w:rPr>
              <w:t>5</w:t>
            </w:r>
          </w:p>
        </w:tc>
        <w:tc>
          <w:tcPr>
            <w:tcW w:w="1359" w:type="dxa"/>
            <w:vAlign w:val="center"/>
          </w:tcPr>
          <w:p w14:paraId="07872DB1" w14:textId="77777777" w:rsidR="00000000" w:rsidRDefault="00000000">
            <w:pPr>
              <w:spacing w:before="34"/>
              <w:ind w:firstLine="0"/>
              <w:jc w:val="left"/>
            </w:pPr>
            <w:r>
              <w:rPr>
                <w:sz w:val="16"/>
              </w:rPr>
              <w:t>1.2 %</w:t>
            </w:r>
          </w:p>
        </w:tc>
      </w:tr>
      <w:tr w:rsidR="00000000" w14:paraId="3689264D" w14:textId="77777777">
        <w:trPr>
          <w:jc w:val="center"/>
        </w:trPr>
        <w:tc>
          <w:tcPr>
            <w:tcW w:w="2113" w:type="dxa"/>
            <w:vAlign w:val="center"/>
          </w:tcPr>
          <w:p w14:paraId="1261434C" w14:textId="77777777" w:rsidR="00000000" w:rsidRDefault="00000000">
            <w:pPr>
              <w:spacing w:before="34"/>
              <w:ind w:firstLine="0"/>
              <w:jc w:val="left"/>
            </w:pPr>
            <w:r>
              <w:rPr>
                <w:sz w:val="16"/>
              </w:rPr>
              <w:t>4/6</w:t>
            </w:r>
          </w:p>
        </w:tc>
        <w:tc>
          <w:tcPr>
            <w:tcW w:w="1087" w:type="dxa"/>
            <w:vAlign w:val="center"/>
          </w:tcPr>
          <w:p w14:paraId="385F828B" w14:textId="77777777" w:rsidR="00000000" w:rsidRDefault="00000000">
            <w:pPr>
              <w:spacing w:before="34"/>
              <w:ind w:firstLine="0"/>
              <w:jc w:val="left"/>
            </w:pPr>
            <w:r>
              <w:rPr>
                <w:sz w:val="16"/>
              </w:rPr>
              <w:t>12</w:t>
            </w:r>
          </w:p>
        </w:tc>
        <w:tc>
          <w:tcPr>
            <w:tcW w:w="1359" w:type="dxa"/>
            <w:vAlign w:val="center"/>
          </w:tcPr>
          <w:p w14:paraId="431FD05C" w14:textId="77777777" w:rsidR="00000000" w:rsidRDefault="00000000">
            <w:pPr>
              <w:spacing w:before="34"/>
              <w:ind w:firstLine="0"/>
              <w:jc w:val="left"/>
            </w:pPr>
            <w:r>
              <w:rPr>
                <w:sz w:val="16"/>
              </w:rPr>
              <w:t>2.8 %</w:t>
            </w:r>
          </w:p>
        </w:tc>
      </w:tr>
      <w:tr w:rsidR="00000000" w14:paraId="312592A3" w14:textId="77777777">
        <w:trPr>
          <w:jc w:val="center"/>
        </w:trPr>
        <w:tc>
          <w:tcPr>
            <w:tcW w:w="2113" w:type="dxa"/>
            <w:vAlign w:val="center"/>
          </w:tcPr>
          <w:p w14:paraId="468F1963" w14:textId="77777777" w:rsidR="00000000" w:rsidRDefault="00000000">
            <w:pPr>
              <w:spacing w:before="34"/>
              <w:ind w:firstLine="0"/>
              <w:jc w:val="left"/>
            </w:pPr>
            <w:r>
              <w:rPr>
                <w:sz w:val="16"/>
              </w:rPr>
              <w:t>3/6</w:t>
            </w:r>
          </w:p>
        </w:tc>
        <w:tc>
          <w:tcPr>
            <w:tcW w:w="1087" w:type="dxa"/>
            <w:vAlign w:val="center"/>
          </w:tcPr>
          <w:p w14:paraId="7ACDB464" w14:textId="77777777" w:rsidR="00000000" w:rsidRDefault="00000000">
            <w:pPr>
              <w:spacing w:before="34"/>
              <w:ind w:firstLine="0"/>
              <w:jc w:val="left"/>
            </w:pPr>
            <w:r>
              <w:rPr>
                <w:sz w:val="16"/>
              </w:rPr>
              <w:t>20</w:t>
            </w:r>
          </w:p>
        </w:tc>
        <w:tc>
          <w:tcPr>
            <w:tcW w:w="1359" w:type="dxa"/>
            <w:vAlign w:val="center"/>
          </w:tcPr>
          <w:p w14:paraId="408E60D5" w14:textId="77777777" w:rsidR="00000000" w:rsidRDefault="00000000">
            <w:pPr>
              <w:spacing w:before="34"/>
              <w:ind w:firstLine="0"/>
              <w:jc w:val="left"/>
            </w:pPr>
            <w:r>
              <w:rPr>
                <w:sz w:val="16"/>
              </w:rPr>
              <w:t>4.6 %</w:t>
            </w:r>
          </w:p>
        </w:tc>
      </w:tr>
      <w:tr w:rsidR="00000000" w14:paraId="7CB915E7" w14:textId="77777777">
        <w:trPr>
          <w:jc w:val="center"/>
        </w:trPr>
        <w:tc>
          <w:tcPr>
            <w:tcW w:w="2113" w:type="dxa"/>
            <w:vAlign w:val="center"/>
          </w:tcPr>
          <w:p w14:paraId="09774718" w14:textId="77777777" w:rsidR="00000000" w:rsidRDefault="00000000">
            <w:pPr>
              <w:spacing w:before="34"/>
              <w:ind w:firstLine="0"/>
              <w:jc w:val="left"/>
            </w:pPr>
            <w:r>
              <w:rPr>
                <w:sz w:val="16"/>
              </w:rPr>
              <w:t>2/6 (umbral mínimo)</w:t>
            </w:r>
          </w:p>
        </w:tc>
        <w:tc>
          <w:tcPr>
            <w:tcW w:w="1087" w:type="dxa"/>
            <w:vAlign w:val="center"/>
          </w:tcPr>
          <w:p w14:paraId="3FEF08F5" w14:textId="77777777" w:rsidR="00000000" w:rsidRDefault="00000000">
            <w:pPr>
              <w:spacing w:before="34"/>
              <w:ind w:firstLine="0"/>
              <w:jc w:val="left"/>
            </w:pPr>
            <w:r>
              <w:rPr>
                <w:sz w:val="16"/>
              </w:rPr>
              <w:t>29</w:t>
            </w:r>
          </w:p>
        </w:tc>
        <w:tc>
          <w:tcPr>
            <w:tcW w:w="1359" w:type="dxa"/>
            <w:vAlign w:val="center"/>
          </w:tcPr>
          <w:p w14:paraId="50378368" w14:textId="77777777" w:rsidR="00000000" w:rsidRDefault="00000000">
            <w:pPr>
              <w:spacing w:before="34"/>
              <w:ind w:firstLine="0"/>
              <w:jc w:val="left"/>
            </w:pPr>
            <w:r>
              <w:rPr>
                <w:sz w:val="16"/>
              </w:rPr>
              <w:t>6.7 %</w:t>
            </w:r>
          </w:p>
        </w:tc>
      </w:tr>
      <w:tr w:rsidR="00000000" w14:paraId="15252291" w14:textId="77777777">
        <w:trPr>
          <w:jc w:val="center"/>
        </w:trPr>
        <w:tc>
          <w:tcPr>
            <w:tcW w:w="2113" w:type="dxa"/>
            <w:vAlign w:val="center"/>
          </w:tcPr>
          <w:p w14:paraId="638A390D" w14:textId="77777777" w:rsidR="00000000" w:rsidRDefault="00000000">
            <w:pPr>
              <w:spacing w:before="34"/>
              <w:ind w:firstLine="0"/>
              <w:jc w:val="left"/>
            </w:pPr>
            <w:r>
              <w:rPr>
                <w:sz w:val="16"/>
              </w:rPr>
              <w:t>Subtotal retenido (≥2 votos)</w:t>
            </w:r>
          </w:p>
        </w:tc>
        <w:tc>
          <w:tcPr>
            <w:tcW w:w="1087" w:type="dxa"/>
            <w:vAlign w:val="center"/>
          </w:tcPr>
          <w:p w14:paraId="48BB848F" w14:textId="77777777" w:rsidR="00000000" w:rsidRDefault="00000000">
            <w:pPr>
              <w:spacing w:before="34"/>
              <w:ind w:firstLine="0"/>
              <w:jc w:val="left"/>
            </w:pPr>
            <w:r>
              <w:rPr>
                <w:sz w:val="16"/>
              </w:rPr>
              <w:t>69</w:t>
            </w:r>
          </w:p>
        </w:tc>
        <w:tc>
          <w:tcPr>
            <w:tcW w:w="1359" w:type="dxa"/>
            <w:vAlign w:val="center"/>
          </w:tcPr>
          <w:p w14:paraId="5CD93DCF" w14:textId="77777777" w:rsidR="00000000" w:rsidRDefault="00000000">
            <w:pPr>
              <w:spacing w:before="34"/>
              <w:ind w:firstLine="0"/>
              <w:jc w:val="left"/>
            </w:pPr>
            <w:r>
              <w:rPr>
                <w:sz w:val="16"/>
              </w:rPr>
              <w:t>15.9 %</w:t>
            </w:r>
          </w:p>
        </w:tc>
      </w:tr>
      <w:tr w:rsidR="00000000" w14:paraId="6A75B5A2" w14:textId="77777777">
        <w:trPr>
          <w:jc w:val="center"/>
        </w:trPr>
        <w:tc>
          <w:tcPr>
            <w:tcW w:w="2113" w:type="dxa"/>
            <w:vAlign w:val="center"/>
          </w:tcPr>
          <w:p w14:paraId="4CABCB86" w14:textId="77777777" w:rsidR="00000000" w:rsidRDefault="00000000">
            <w:pPr>
              <w:spacing w:before="34"/>
              <w:ind w:firstLine="0"/>
              <w:jc w:val="left"/>
            </w:pPr>
            <w:r>
              <w:rPr>
                <w:sz w:val="16"/>
              </w:rPr>
              <w:t>1/6 (descartada)</w:t>
            </w:r>
          </w:p>
        </w:tc>
        <w:tc>
          <w:tcPr>
            <w:tcW w:w="1087" w:type="dxa"/>
            <w:vAlign w:val="center"/>
          </w:tcPr>
          <w:p w14:paraId="75ABAC04" w14:textId="77777777" w:rsidR="00000000" w:rsidRDefault="00000000">
            <w:pPr>
              <w:spacing w:before="34"/>
              <w:ind w:firstLine="0"/>
              <w:jc w:val="left"/>
            </w:pPr>
            <w:r>
              <w:rPr>
                <w:sz w:val="16"/>
              </w:rPr>
              <w:t>15</w:t>
            </w:r>
          </w:p>
        </w:tc>
        <w:tc>
          <w:tcPr>
            <w:tcW w:w="1359" w:type="dxa"/>
            <w:vAlign w:val="center"/>
          </w:tcPr>
          <w:p w14:paraId="55F31B93" w14:textId="77777777" w:rsidR="00000000" w:rsidRDefault="00000000">
            <w:pPr>
              <w:spacing w:before="34"/>
              <w:ind w:firstLine="0"/>
              <w:jc w:val="left"/>
            </w:pPr>
            <w:r>
              <w:rPr>
                <w:sz w:val="16"/>
              </w:rPr>
              <w:t>3.5 %</w:t>
            </w:r>
          </w:p>
        </w:tc>
      </w:tr>
      <w:tr w:rsidR="00000000" w14:paraId="384EB5E2" w14:textId="77777777">
        <w:trPr>
          <w:jc w:val="center"/>
        </w:trPr>
        <w:tc>
          <w:tcPr>
            <w:tcW w:w="2113" w:type="dxa"/>
            <w:vAlign w:val="center"/>
          </w:tcPr>
          <w:p w14:paraId="40C602E2" w14:textId="77777777" w:rsidR="00000000" w:rsidRDefault="00000000">
            <w:pPr>
              <w:spacing w:before="34"/>
              <w:ind w:firstLine="0"/>
              <w:jc w:val="left"/>
            </w:pPr>
            <w:r>
              <w:rPr>
                <w:sz w:val="16"/>
              </w:rPr>
              <w:t>0/6 (descartada)</w:t>
            </w:r>
          </w:p>
        </w:tc>
        <w:tc>
          <w:tcPr>
            <w:tcW w:w="1087" w:type="dxa"/>
            <w:vAlign w:val="center"/>
          </w:tcPr>
          <w:p w14:paraId="07697BAF" w14:textId="77777777" w:rsidR="00000000" w:rsidRDefault="00000000">
            <w:pPr>
              <w:spacing w:before="34"/>
              <w:ind w:firstLine="0"/>
              <w:jc w:val="left"/>
            </w:pPr>
            <w:r>
              <w:rPr>
                <w:sz w:val="16"/>
              </w:rPr>
              <w:t>349</w:t>
            </w:r>
          </w:p>
        </w:tc>
        <w:tc>
          <w:tcPr>
            <w:tcW w:w="1359" w:type="dxa"/>
            <w:vAlign w:val="center"/>
          </w:tcPr>
          <w:p w14:paraId="74BAAB68" w14:textId="77777777" w:rsidR="00000000" w:rsidRDefault="00000000">
            <w:pPr>
              <w:spacing w:before="34"/>
              <w:ind w:firstLine="0"/>
              <w:jc w:val="left"/>
            </w:pPr>
            <w:r>
              <w:rPr>
                <w:sz w:val="16"/>
              </w:rPr>
              <w:t>80.6 %</w:t>
            </w:r>
          </w:p>
        </w:tc>
      </w:tr>
    </w:tbl>
    <w:p w14:paraId="3EA477BE" w14:textId="77777777" w:rsidR="00000000" w:rsidRDefault="00000000">
      <w:pPr>
        <w:pStyle w:val="NoteTable"/>
        <w:spacing w:before="119" w:after="0"/>
      </w:pPr>
      <w:r>
        <w:rPr>
          <w:b/>
          <w:bCs/>
        </w:rPr>
        <w:t>Nota:</w:t>
      </w:r>
      <w:r>
        <w:t xml:space="preserve"> umbral de consenso = votos ≥ 2/6. Las tres variables con acuerdo unánime (6/6) son </w:t>
      </w:r>
      <w:r>
        <w:rPr>
          <w:rStyle w:val="Variable"/>
        </w:rPr>
        <w:t>freq_distrito_fiscal</w:t>
      </w:r>
      <w:r>
        <w:t xml:space="preserve">, </w:t>
      </w:r>
      <w:r>
        <w:rPr>
          <w:rStyle w:val="Variable"/>
        </w:rPr>
        <w:t>freq_tipo_caso</w:t>
      </w:r>
      <w:r>
        <w:t xml:space="preserve"> y </w:t>
      </w:r>
      <w:r>
        <w:rPr>
          <w:rStyle w:val="Variable"/>
        </w:rPr>
        <w:t>tipo_caso_DENUNCIA</w:t>
      </w:r>
      <w:r>
        <w:t>.</w:t>
      </w:r>
    </w:p>
    <w:p w14:paraId="4692894B" w14:textId="77777777" w:rsidR="00000000" w:rsidRDefault="00000000">
      <w:pPr>
        <w:pStyle w:val="Ttulo2"/>
        <w:numPr>
          <w:ilvl w:val="1"/>
          <w:numId w:val="2"/>
        </w:numPr>
      </w:pPr>
      <w:r>
        <w:t>C.</w:t>
      </w:r>
      <w:r>
        <w:tab/>
        <w:t>Validación del espacio de características</w:t>
      </w:r>
    </w:p>
    <w:p w14:paraId="7EA9D0D8" w14:textId="77777777" w:rsidR="00000000" w:rsidRDefault="00000000">
      <w:pPr>
        <w:rPr>
          <w:sz w:val="12"/>
          <w:szCs w:val="12"/>
        </w:rPr>
      </w:pPr>
      <w:r>
        <w:t>El propósito consistió en examinar la topología interna del espacio de características y evaluar la consistencia de la señal proxy de riesgo con la estructura multivariada de los datos. Los análisis exploratorios (PCA, t-SNE, UMAP; Figuras 4-6) confirmaron la existencia de estructuras no lineales con agrupamientos locales y solapamiento parcial entre clases, justificando el uso de clasificadores robustos.</w:t>
      </w:r>
    </w:p>
    <w:p w14:paraId="53BDDD10" w14:textId="77777777" w:rsidR="00000000" w:rsidRDefault="00000000">
      <w:pPr>
        <w:rPr>
          <w:sz w:val="12"/>
          <w:szCs w:val="12"/>
        </w:rPr>
      </w:pPr>
    </w:p>
    <w:p w14:paraId="35D68C8C" w14:textId="77777777" w:rsidR="00000000" w:rsidRDefault="00000000">
      <w:pPr>
        <w:ind w:firstLine="993"/>
        <w:rPr>
          <w:b/>
        </w:rPr>
      </w:pPr>
      <w:r>
        <w:rPr>
          <w:lang w:val="es-PE" w:eastAsia="es-PE"/>
        </w:rPr>
        <w:pict w14:anchorId="7A533808">
          <v:shape id="_x0000_i1032" type="#_x0000_t75" style="width:164.4pt;height:108.6pt" filled="t">
            <v:fill color2="black"/>
            <v:imagedata r:id="rId19" o:title="" croptop="-30f" cropbottom="-30f" cropleft="-13f" cropright="-26f"/>
          </v:shape>
        </w:pict>
      </w:r>
    </w:p>
    <w:p w14:paraId="02DAB99E"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4</w:t>
      </w:r>
      <w:r>
        <w:rPr>
          <w:b/>
          <w:bCs w:val="0"/>
        </w:rPr>
        <w:fldChar w:fldCharType="end"/>
      </w:r>
      <w:r>
        <w:rPr>
          <w:b/>
          <w:bCs w:val="0"/>
          <w:lang w:val="es-PE"/>
        </w:rPr>
        <w:t xml:space="preserve">. </w:t>
      </w:r>
      <w:r>
        <w:rPr>
          <w:lang w:val="es-PE"/>
        </w:rPr>
        <w:t xml:space="preserve">Proyección bidimensional mediante PCA del conjunto de entrenamiento coloreada según la clase del </w:t>
      </w:r>
      <w:r>
        <w:rPr>
          <w:i/>
          <w:iCs/>
          <w:lang w:val="es-PE"/>
        </w:rPr>
        <w:t>target proxy</w:t>
      </w:r>
      <w:r>
        <w:rPr>
          <w:lang w:val="es-PE"/>
        </w:rPr>
        <w:t>.</w:t>
      </w:r>
    </w:p>
    <w:p w14:paraId="1C0FA550" w14:textId="77777777" w:rsidR="00000000" w:rsidRDefault="00000000">
      <w:pPr>
        <w:ind w:firstLine="993"/>
        <w:rPr>
          <w:b/>
        </w:rPr>
      </w:pPr>
      <w:r>
        <w:rPr>
          <w:lang w:val="es-PE" w:eastAsia="es-PE"/>
        </w:rPr>
        <w:lastRenderedPageBreak/>
        <w:pict w14:anchorId="65997CA5">
          <v:shape id="_x0000_i1033" type="#_x0000_t75" style="width:168pt;height:114pt" filled="t">
            <v:fill color2="black"/>
            <v:imagedata r:id="rId20" o:title="" croptop="-49f" cropbottom="-49f" cropleft="-13f" cropright="-26f"/>
          </v:shape>
        </w:pict>
      </w:r>
    </w:p>
    <w:p w14:paraId="1F45A969"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5</w:t>
      </w:r>
      <w:r>
        <w:rPr>
          <w:b/>
          <w:bCs w:val="0"/>
        </w:rPr>
        <w:fldChar w:fldCharType="end"/>
      </w:r>
      <w:r>
        <w:rPr>
          <w:b/>
          <w:bCs w:val="0"/>
          <w:lang w:val="es-PE"/>
        </w:rPr>
        <w:t xml:space="preserve">. </w:t>
      </w:r>
      <w:r>
        <w:rPr>
          <w:lang w:val="es-PE"/>
        </w:rPr>
        <w:t xml:space="preserve">Representación bidimensional mediante t-SNE </w:t>
      </w:r>
      <w:r>
        <w:rPr>
          <w:lang w:val="es-PE"/>
        </w:rPr>
        <w:br/>
        <w:t>del espacio de características del conjunto de entrenamiento.</w:t>
      </w:r>
    </w:p>
    <w:p w14:paraId="4E80E63A" w14:textId="77777777" w:rsidR="00000000" w:rsidRDefault="00000000">
      <w:pPr>
        <w:ind w:firstLine="993"/>
        <w:rPr>
          <w:b/>
        </w:rPr>
      </w:pPr>
      <w:r>
        <w:rPr>
          <w:lang w:val="es-PE" w:eastAsia="es-PE"/>
        </w:rPr>
        <w:pict w14:anchorId="4C4FBBF4">
          <v:shape id="_x0000_i1034" type="#_x0000_t75" style="width:172.2pt;height:116.4pt" filled="t">
            <v:fill color2="black"/>
            <v:imagedata r:id="rId21" o:title="" croptop="-49f" cropbottom="-49f" cropleft="-13f" cropright="-26f"/>
          </v:shape>
        </w:pict>
      </w:r>
    </w:p>
    <w:p w14:paraId="420D2B0B"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6</w:t>
      </w:r>
      <w:r>
        <w:rPr>
          <w:b/>
          <w:bCs w:val="0"/>
        </w:rPr>
        <w:fldChar w:fldCharType="end"/>
      </w:r>
      <w:r>
        <w:rPr>
          <w:b/>
          <w:bCs w:val="0"/>
          <w:lang w:val="es-PE"/>
        </w:rPr>
        <w:t>.</w:t>
      </w:r>
      <w:r>
        <w:rPr>
          <w:lang w:val="es-PE"/>
        </w:rPr>
        <w:t xml:space="preserve"> Representación bidimensional mediante UMAP del espacio de características del conjunto de entrenamiento.</w:t>
      </w:r>
    </w:p>
    <w:p w14:paraId="0E391506" w14:textId="77777777" w:rsidR="00000000" w:rsidRDefault="00000000">
      <w:pPr>
        <w:rPr>
          <w:b/>
        </w:rPr>
      </w:pPr>
      <w:r>
        <w:t>La validación no supervisada (Tabla VII) corroboró esta estructura, con K-Means (k=7) como partición de mejor calidad y estabilidad frente a DBSCAN y Agglomerative.</w:t>
      </w:r>
    </w:p>
    <w:p w14:paraId="3EE83A5B" w14:textId="77777777" w:rsidR="00000000" w:rsidRDefault="00000000">
      <w:pPr>
        <w:pStyle w:val="Tablecaption1"/>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VII</w:t>
      </w:r>
      <w:r>
        <w:rPr>
          <w:b/>
          <w:bCs w:val="0"/>
        </w:rPr>
        <w:fldChar w:fldCharType="end"/>
      </w:r>
      <w:r>
        <w:rPr>
          <w:b/>
          <w:bCs w:val="0"/>
        </w:rPr>
        <w:t>.</w:t>
      </w:r>
      <w:r>
        <w:t xml:space="preserve"> Resumen De La Validación No Supervisada </w:t>
      </w:r>
      <w:r>
        <w:br/>
        <w:t>Del Espacio De Características</w:t>
      </w:r>
    </w:p>
    <w:tbl>
      <w:tblPr>
        <w:tblW w:w="0" w:type="auto"/>
        <w:tblLayout w:type="fixed"/>
        <w:tblLook w:val="0000" w:firstRow="0" w:lastRow="0" w:firstColumn="0" w:lastColumn="0" w:noHBand="0" w:noVBand="0"/>
      </w:tblPr>
      <w:tblGrid>
        <w:gridCol w:w="1482"/>
        <w:gridCol w:w="1888"/>
        <w:gridCol w:w="1886"/>
      </w:tblGrid>
      <w:tr w:rsidR="00000000" w14:paraId="3A054C53" w14:textId="77777777">
        <w:trPr>
          <w:tblHeader/>
        </w:trPr>
        <w:tc>
          <w:tcPr>
            <w:tcW w:w="1482" w:type="dxa"/>
            <w:tcBorders>
              <w:bottom w:val="single" w:sz="4" w:space="0" w:color="000000"/>
            </w:tcBorders>
            <w:vAlign w:val="center"/>
          </w:tcPr>
          <w:p w14:paraId="6E139138" w14:textId="77777777" w:rsidR="00000000" w:rsidRDefault="00000000">
            <w:pPr>
              <w:ind w:firstLine="0"/>
              <w:rPr>
                <w:b/>
                <w:bCs/>
                <w:sz w:val="16"/>
                <w:szCs w:val="16"/>
              </w:rPr>
            </w:pPr>
            <w:hyperlink r:id="rId22" w:history="1">
              <w:r>
                <w:rPr>
                  <w:rStyle w:val="Hipervnculo"/>
                  <w:b/>
                  <w:bCs/>
                  <w:sz w:val="16"/>
                  <w:szCs w:val="16"/>
                  <w:u w:val="none"/>
                </w:rPr>
                <w:t>Análisis</w:t>
              </w:r>
            </w:hyperlink>
          </w:p>
        </w:tc>
        <w:tc>
          <w:tcPr>
            <w:tcW w:w="1888" w:type="dxa"/>
            <w:tcBorders>
              <w:bottom w:val="single" w:sz="4" w:space="0" w:color="000000"/>
            </w:tcBorders>
            <w:vAlign w:val="center"/>
          </w:tcPr>
          <w:p w14:paraId="7FB6FB37" w14:textId="77777777" w:rsidR="00000000" w:rsidRDefault="00000000">
            <w:pPr>
              <w:ind w:firstLine="0"/>
            </w:pPr>
            <w:r>
              <w:rPr>
                <w:b/>
                <w:bCs/>
                <w:sz w:val="16"/>
                <w:szCs w:val="16"/>
              </w:rPr>
              <w:t>Evidencia</w:t>
            </w:r>
          </w:p>
        </w:tc>
        <w:tc>
          <w:tcPr>
            <w:tcW w:w="1886" w:type="dxa"/>
            <w:tcBorders>
              <w:bottom w:val="single" w:sz="4" w:space="0" w:color="000000"/>
            </w:tcBorders>
            <w:vAlign w:val="center"/>
          </w:tcPr>
          <w:p w14:paraId="29D06026" w14:textId="77777777" w:rsidR="00000000" w:rsidRDefault="00000000">
            <w:pPr>
              <w:ind w:firstLine="0"/>
            </w:pPr>
            <w:r>
              <w:rPr>
                <w:b/>
                <w:bCs/>
                <w:sz w:val="16"/>
                <w:szCs w:val="16"/>
              </w:rPr>
              <w:t>Resultado + Interpretación</w:t>
            </w:r>
          </w:p>
        </w:tc>
      </w:tr>
      <w:tr w:rsidR="00000000" w14:paraId="1993CB0A" w14:textId="77777777">
        <w:tc>
          <w:tcPr>
            <w:tcW w:w="1482" w:type="dxa"/>
            <w:vAlign w:val="center"/>
          </w:tcPr>
          <w:p w14:paraId="784DE0AB" w14:textId="77777777" w:rsidR="00000000" w:rsidRDefault="00000000">
            <w:pPr>
              <w:ind w:firstLine="0"/>
              <w:jc w:val="left"/>
            </w:pPr>
            <w:r>
              <w:rPr>
                <w:sz w:val="16"/>
                <w:szCs w:val="16"/>
              </w:rPr>
              <w:t>PCA (2 comp.)</w:t>
            </w:r>
          </w:p>
        </w:tc>
        <w:tc>
          <w:tcPr>
            <w:tcW w:w="1888" w:type="dxa"/>
            <w:vAlign w:val="center"/>
          </w:tcPr>
          <w:p w14:paraId="5EB0FC20" w14:textId="77777777" w:rsidR="00000000" w:rsidRDefault="00000000">
            <w:pPr>
              <w:ind w:firstLine="0"/>
              <w:jc w:val="left"/>
            </w:pPr>
            <w:r>
              <w:rPr>
                <w:sz w:val="16"/>
                <w:szCs w:val="16"/>
              </w:rPr>
              <w:t>Fig. 4</w:t>
            </w:r>
          </w:p>
        </w:tc>
        <w:tc>
          <w:tcPr>
            <w:tcW w:w="1886" w:type="dxa"/>
            <w:vAlign w:val="center"/>
          </w:tcPr>
          <w:p w14:paraId="46C54924" w14:textId="77777777" w:rsidR="00000000" w:rsidRDefault="00000000">
            <w:pPr>
              <w:ind w:firstLine="0"/>
              <w:jc w:val="left"/>
            </w:pPr>
            <w:r>
              <w:rPr>
                <w:sz w:val="16"/>
                <w:szCs w:val="16"/>
              </w:rPr>
              <w:t>Organización global; separación parcial no lineal</w:t>
            </w:r>
          </w:p>
        </w:tc>
      </w:tr>
      <w:tr w:rsidR="00000000" w14:paraId="665ABA9B" w14:textId="77777777">
        <w:tc>
          <w:tcPr>
            <w:tcW w:w="1482" w:type="dxa"/>
            <w:vAlign w:val="center"/>
          </w:tcPr>
          <w:p w14:paraId="55E0F3C2" w14:textId="77777777" w:rsidR="00000000" w:rsidRDefault="00000000">
            <w:pPr>
              <w:ind w:firstLine="0"/>
              <w:jc w:val="left"/>
            </w:pPr>
            <w:r>
              <w:rPr>
                <w:sz w:val="16"/>
                <w:szCs w:val="16"/>
              </w:rPr>
              <w:t>t-SNE</w:t>
            </w:r>
          </w:p>
        </w:tc>
        <w:tc>
          <w:tcPr>
            <w:tcW w:w="1888" w:type="dxa"/>
            <w:vAlign w:val="center"/>
          </w:tcPr>
          <w:p w14:paraId="31F42B00" w14:textId="77777777" w:rsidR="00000000" w:rsidRDefault="00000000">
            <w:pPr>
              <w:ind w:firstLine="0"/>
              <w:jc w:val="left"/>
            </w:pPr>
            <w:r>
              <w:rPr>
                <w:sz w:val="16"/>
                <w:szCs w:val="16"/>
              </w:rPr>
              <w:t>Fig. 5</w:t>
            </w:r>
          </w:p>
        </w:tc>
        <w:tc>
          <w:tcPr>
            <w:tcW w:w="1886" w:type="dxa"/>
            <w:vAlign w:val="center"/>
          </w:tcPr>
          <w:p w14:paraId="7F226A73" w14:textId="77777777" w:rsidR="00000000" w:rsidRDefault="00000000">
            <w:pPr>
              <w:ind w:firstLine="0"/>
              <w:jc w:val="left"/>
            </w:pPr>
            <w:r>
              <w:rPr>
                <w:sz w:val="16"/>
                <w:szCs w:val="16"/>
              </w:rPr>
              <w:t>Clústeres locales compactos; relaciones no lineales</w:t>
            </w:r>
          </w:p>
        </w:tc>
      </w:tr>
      <w:tr w:rsidR="00000000" w14:paraId="540C2A7E" w14:textId="77777777">
        <w:tc>
          <w:tcPr>
            <w:tcW w:w="1482" w:type="dxa"/>
            <w:vAlign w:val="center"/>
          </w:tcPr>
          <w:p w14:paraId="41B5BDD3" w14:textId="77777777" w:rsidR="00000000" w:rsidRDefault="00000000">
            <w:pPr>
              <w:ind w:firstLine="0"/>
              <w:jc w:val="left"/>
            </w:pPr>
            <w:r>
              <w:rPr>
                <w:sz w:val="16"/>
                <w:szCs w:val="16"/>
              </w:rPr>
              <w:t>UMAP</w:t>
            </w:r>
          </w:p>
        </w:tc>
        <w:tc>
          <w:tcPr>
            <w:tcW w:w="1888" w:type="dxa"/>
            <w:vAlign w:val="center"/>
          </w:tcPr>
          <w:p w14:paraId="7440289B" w14:textId="77777777" w:rsidR="00000000" w:rsidRDefault="00000000">
            <w:pPr>
              <w:ind w:firstLine="0"/>
              <w:jc w:val="left"/>
            </w:pPr>
            <w:r>
              <w:rPr>
                <w:sz w:val="16"/>
                <w:szCs w:val="16"/>
              </w:rPr>
              <w:t>Fig. 6</w:t>
            </w:r>
          </w:p>
        </w:tc>
        <w:tc>
          <w:tcPr>
            <w:tcW w:w="1886" w:type="dxa"/>
            <w:vAlign w:val="center"/>
          </w:tcPr>
          <w:p w14:paraId="5C62C428" w14:textId="77777777" w:rsidR="00000000" w:rsidRDefault="00000000">
            <w:pPr>
              <w:ind w:firstLine="0"/>
              <w:jc w:val="left"/>
            </w:pPr>
            <w:r>
              <w:rPr>
                <w:sz w:val="16"/>
                <w:szCs w:val="16"/>
              </w:rPr>
              <w:t>Estructura estable; patrones multivariados consistentes</w:t>
            </w:r>
          </w:p>
        </w:tc>
      </w:tr>
      <w:tr w:rsidR="00000000" w14:paraId="2319B38A" w14:textId="77777777">
        <w:tc>
          <w:tcPr>
            <w:tcW w:w="1482" w:type="dxa"/>
            <w:vAlign w:val="center"/>
          </w:tcPr>
          <w:p w14:paraId="71C6F631" w14:textId="77777777" w:rsidR="00000000" w:rsidRDefault="00000000">
            <w:pPr>
              <w:ind w:firstLine="0"/>
              <w:jc w:val="left"/>
            </w:pPr>
            <w:r>
              <w:rPr>
                <w:sz w:val="16"/>
                <w:szCs w:val="16"/>
              </w:rPr>
              <w:t>K-Means</w:t>
            </w:r>
          </w:p>
        </w:tc>
        <w:tc>
          <w:tcPr>
            <w:tcW w:w="1888" w:type="dxa"/>
            <w:vAlign w:val="center"/>
          </w:tcPr>
          <w:p w14:paraId="78DFAE82" w14:textId="77777777" w:rsidR="00000000" w:rsidRDefault="00000000">
            <w:pPr>
              <w:ind w:firstLine="0"/>
              <w:jc w:val="left"/>
            </w:pPr>
            <w:r>
              <w:rPr>
                <w:sz w:val="16"/>
                <w:szCs w:val="16"/>
              </w:rPr>
              <w:t>Silh=0.262; DB=1.507; CH=1173.6; ARI=0.77±0.13</w:t>
            </w:r>
          </w:p>
        </w:tc>
        <w:tc>
          <w:tcPr>
            <w:tcW w:w="1886" w:type="dxa"/>
            <w:vAlign w:val="center"/>
          </w:tcPr>
          <w:p w14:paraId="3836A30B" w14:textId="77777777" w:rsidR="00000000" w:rsidRDefault="00000000">
            <w:pPr>
              <w:ind w:firstLine="0"/>
              <w:jc w:val="left"/>
            </w:pPr>
            <w:r>
              <w:rPr>
                <w:sz w:val="16"/>
                <w:szCs w:val="16"/>
              </w:rPr>
              <w:t>K=7 óptimo; robustez confirmada por bootstrap</w:t>
            </w:r>
          </w:p>
        </w:tc>
      </w:tr>
      <w:tr w:rsidR="00000000" w14:paraId="52FDA92C" w14:textId="77777777">
        <w:tc>
          <w:tcPr>
            <w:tcW w:w="1482" w:type="dxa"/>
            <w:vAlign w:val="center"/>
          </w:tcPr>
          <w:p w14:paraId="2C09871B" w14:textId="77777777" w:rsidR="00000000" w:rsidRDefault="00000000">
            <w:pPr>
              <w:ind w:firstLine="0"/>
              <w:jc w:val="left"/>
            </w:pPr>
            <w:r>
              <w:rPr>
                <w:sz w:val="16"/>
                <w:szCs w:val="16"/>
              </w:rPr>
              <w:t>DBSCAN</w:t>
            </w:r>
          </w:p>
        </w:tc>
        <w:tc>
          <w:tcPr>
            <w:tcW w:w="1888" w:type="dxa"/>
            <w:vAlign w:val="center"/>
          </w:tcPr>
          <w:p w14:paraId="0490E5B6" w14:textId="77777777" w:rsidR="00000000" w:rsidRDefault="00000000">
            <w:pPr>
              <w:ind w:firstLine="0"/>
              <w:jc w:val="left"/>
            </w:pPr>
            <w:r>
              <w:rPr>
                <w:sz w:val="16"/>
                <w:szCs w:val="16"/>
              </w:rPr>
              <w:t>46 clústeres; Silh=0.161; DB=1.310; CH=245.9</w:t>
            </w:r>
          </w:p>
        </w:tc>
        <w:tc>
          <w:tcPr>
            <w:tcW w:w="1886" w:type="dxa"/>
            <w:vAlign w:val="center"/>
          </w:tcPr>
          <w:p w14:paraId="45C934DC" w14:textId="77777777" w:rsidR="00000000" w:rsidRDefault="00000000">
            <w:pPr>
              <w:ind w:firstLine="0"/>
              <w:jc w:val="left"/>
            </w:pPr>
            <w:r>
              <w:rPr>
                <w:sz w:val="16"/>
                <w:szCs w:val="16"/>
              </w:rPr>
              <w:t>Exploratorio; partición fragmentada y menor calidad</w:t>
            </w:r>
          </w:p>
        </w:tc>
      </w:tr>
      <w:tr w:rsidR="00000000" w14:paraId="7DE9D1E7" w14:textId="77777777">
        <w:tc>
          <w:tcPr>
            <w:tcW w:w="1482" w:type="dxa"/>
            <w:vAlign w:val="center"/>
          </w:tcPr>
          <w:p w14:paraId="684FE13C" w14:textId="77777777" w:rsidR="00000000" w:rsidRDefault="00000000">
            <w:pPr>
              <w:ind w:firstLine="0"/>
              <w:jc w:val="left"/>
            </w:pPr>
            <w:r>
              <w:rPr>
                <w:sz w:val="16"/>
                <w:szCs w:val="16"/>
              </w:rPr>
              <w:t>Agglomerative</w:t>
            </w:r>
          </w:p>
        </w:tc>
        <w:tc>
          <w:tcPr>
            <w:tcW w:w="1888" w:type="dxa"/>
            <w:vAlign w:val="center"/>
          </w:tcPr>
          <w:p w14:paraId="5B80BC59" w14:textId="77777777" w:rsidR="00000000" w:rsidRDefault="00000000">
            <w:pPr>
              <w:ind w:firstLine="0"/>
              <w:jc w:val="left"/>
            </w:pPr>
            <w:r>
              <w:rPr>
                <w:sz w:val="16"/>
                <w:szCs w:val="16"/>
              </w:rPr>
              <w:t>Silh=0.250 (k=5); DB=1.573; CH=1273.8</w:t>
            </w:r>
          </w:p>
        </w:tc>
        <w:tc>
          <w:tcPr>
            <w:tcW w:w="1886" w:type="dxa"/>
            <w:vAlign w:val="center"/>
          </w:tcPr>
          <w:p w14:paraId="74C67E57" w14:textId="77777777" w:rsidR="00000000" w:rsidRDefault="00000000">
            <w:pPr>
              <w:ind w:firstLine="0"/>
              <w:jc w:val="left"/>
            </w:pPr>
            <w:r>
              <w:rPr>
                <w:sz w:val="16"/>
                <w:szCs w:val="16"/>
              </w:rPr>
              <w:t>Exploratorio; menor calidad que K-Means</w:t>
            </w:r>
          </w:p>
        </w:tc>
      </w:tr>
      <w:tr w:rsidR="00000000" w14:paraId="735D8844" w14:textId="77777777">
        <w:tc>
          <w:tcPr>
            <w:tcW w:w="1482" w:type="dxa"/>
            <w:vAlign w:val="center"/>
          </w:tcPr>
          <w:p w14:paraId="0E268654" w14:textId="77777777" w:rsidR="00000000" w:rsidRDefault="00000000">
            <w:pPr>
              <w:ind w:firstLine="0"/>
              <w:jc w:val="left"/>
            </w:pPr>
            <w:r>
              <w:rPr>
                <w:sz w:val="16"/>
                <w:szCs w:val="16"/>
              </w:rPr>
              <w:t>Isolation Forest</w:t>
            </w:r>
          </w:p>
        </w:tc>
        <w:tc>
          <w:tcPr>
            <w:tcW w:w="1888" w:type="dxa"/>
            <w:vAlign w:val="center"/>
          </w:tcPr>
          <w:p w14:paraId="76FBFE48" w14:textId="77777777" w:rsidR="00000000" w:rsidRDefault="00000000">
            <w:pPr>
              <w:ind w:firstLine="0"/>
              <w:jc w:val="left"/>
            </w:pPr>
            <w:r>
              <w:rPr>
                <w:sz w:val="16"/>
                <w:szCs w:val="16"/>
              </w:rPr>
              <w:t>51/6076 (0.84%)</w:t>
            </w:r>
          </w:p>
        </w:tc>
        <w:tc>
          <w:tcPr>
            <w:tcW w:w="1886" w:type="dxa"/>
            <w:vAlign w:val="center"/>
          </w:tcPr>
          <w:p w14:paraId="3C571215" w14:textId="77777777" w:rsidR="00000000" w:rsidRDefault="00000000">
            <w:pPr>
              <w:ind w:firstLine="0"/>
              <w:jc w:val="left"/>
            </w:pPr>
            <w:r>
              <w:rPr>
                <w:sz w:val="16"/>
                <w:szCs w:val="16"/>
              </w:rPr>
              <w:t>Baja proporción; sin anomalías masivas</w:t>
            </w:r>
          </w:p>
        </w:tc>
      </w:tr>
      <w:tr w:rsidR="00000000" w14:paraId="0F802FB2" w14:textId="77777777">
        <w:tc>
          <w:tcPr>
            <w:tcW w:w="1482" w:type="dxa"/>
            <w:vAlign w:val="center"/>
          </w:tcPr>
          <w:p w14:paraId="66419455" w14:textId="77777777" w:rsidR="00000000" w:rsidRDefault="00000000">
            <w:pPr>
              <w:ind w:firstLine="0"/>
              <w:jc w:val="left"/>
            </w:pPr>
            <w:r>
              <w:rPr>
                <w:sz w:val="16"/>
                <w:szCs w:val="16"/>
              </w:rPr>
              <w:t>Local Outlier Factor</w:t>
            </w:r>
          </w:p>
        </w:tc>
        <w:tc>
          <w:tcPr>
            <w:tcW w:w="1888" w:type="dxa"/>
            <w:vAlign w:val="center"/>
          </w:tcPr>
          <w:p w14:paraId="7CE475FD" w14:textId="77777777" w:rsidR="00000000" w:rsidRDefault="00000000">
            <w:pPr>
              <w:ind w:firstLine="0"/>
              <w:jc w:val="left"/>
            </w:pPr>
            <w:r>
              <w:rPr>
                <w:sz w:val="16"/>
                <w:szCs w:val="16"/>
              </w:rPr>
              <w:t>54/6076 (0.89%)</w:t>
            </w:r>
          </w:p>
        </w:tc>
        <w:tc>
          <w:tcPr>
            <w:tcW w:w="1886" w:type="dxa"/>
            <w:vAlign w:val="center"/>
          </w:tcPr>
          <w:p w14:paraId="638F6770" w14:textId="77777777" w:rsidR="00000000" w:rsidRDefault="00000000">
            <w:pPr>
              <w:ind w:firstLine="0"/>
              <w:jc w:val="left"/>
            </w:pPr>
            <w:r>
              <w:rPr>
                <w:sz w:val="16"/>
                <w:szCs w:val="16"/>
              </w:rPr>
              <w:t>Consistente con entrenamiento</w:t>
            </w:r>
          </w:p>
        </w:tc>
      </w:tr>
      <w:tr w:rsidR="00000000" w14:paraId="38304B2D" w14:textId="77777777">
        <w:tc>
          <w:tcPr>
            <w:tcW w:w="1482" w:type="dxa"/>
            <w:vAlign w:val="center"/>
          </w:tcPr>
          <w:p w14:paraId="43B28ABE" w14:textId="77777777" w:rsidR="00000000" w:rsidRDefault="00000000">
            <w:pPr>
              <w:ind w:firstLine="0"/>
              <w:jc w:val="left"/>
            </w:pPr>
            <w:r>
              <w:rPr>
                <w:sz w:val="16"/>
                <w:szCs w:val="16"/>
              </w:rPr>
              <w:t>Mahalanobis robusto</w:t>
            </w:r>
          </w:p>
        </w:tc>
        <w:tc>
          <w:tcPr>
            <w:tcW w:w="1888" w:type="dxa"/>
            <w:vAlign w:val="center"/>
          </w:tcPr>
          <w:p w14:paraId="33817503" w14:textId="77777777" w:rsidR="00000000" w:rsidRDefault="00000000">
            <w:pPr>
              <w:ind w:firstLine="0"/>
              <w:jc w:val="left"/>
            </w:pPr>
            <w:r>
              <w:rPr>
                <w:sz w:val="16"/>
                <w:szCs w:val="16"/>
              </w:rPr>
              <w:t>152/6076 (2.50%)</w:t>
            </w:r>
          </w:p>
        </w:tc>
        <w:tc>
          <w:tcPr>
            <w:tcW w:w="1886" w:type="dxa"/>
            <w:vAlign w:val="center"/>
          </w:tcPr>
          <w:p w14:paraId="0872D3B4" w14:textId="77777777" w:rsidR="00000000" w:rsidRDefault="00000000">
            <w:pPr>
              <w:ind w:firstLine="0"/>
              <w:jc w:val="left"/>
            </w:pPr>
            <w:r>
              <w:rPr>
                <w:sz w:val="16"/>
                <w:szCs w:val="16"/>
              </w:rPr>
              <w:t>Sin valores extremos</w:t>
            </w:r>
          </w:p>
        </w:tc>
      </w:tr>
    </w:tbl>
    <w:p w14:paraId="2FC0CC53" w14:textId="77777777" w:rsidR="00000000" w:rsidRDefault="00000000"/>
    <w:p w14:paraId="126B50DD" w14:textId="77777777" w:rsidR="00000000" w:rsidRDefault="00000000">
      <w:pPr>
        <w:pStyle w:val="Ttulo2"/>
        <w:numPr>
          <w:ilvl w:val="1"/>
          <w:numId w:val="2"/>
        </w:numPr>
      </w:pPr>
      <w:r>
        <w:t>D. Diseño Experimental</w:t>
      </w:r>
    </w:p>
    <w:p w14:paraId="3A09F76A" w14:textId="77777777" w:rsidR="00000000" w:rsidRDefault="00000000">
      <w:r>
        <w:t>El flujo metodológico para el diseño se muestra en la Figura 7 y se detalla en toda esta sección.</w:t>
      </w:r>
    </w:p>
    <w:p w14:paraId="2B658223" w14:textId="77777777" w:rsidR="00000000" w:rsidRDefault="00000000"/>
    <w:p w14:paraId="703E5061" w14:textId="77777777" w:rsidR="00000000" w:rsidRDefault="00000000">
      <w:pPr>
        <w:rPr>
          <w:b/>
        </w:rPr>
      </w:pPr>
      <w:r>
        <w:rPr>
          <w:lang w:val="es-PE" w:eastAsia="es-PE"/>
        </w:rPr>
        <w:pict w14:anchorId="29EA5CB4">
          <v:shape id="_x0000_i1035" type="#_x0000_t75" style="width:219pt;height:78.6pt" filled="t">
            <v:fill color2="black"/>
            <v:imagedata r:id="rId23" o:title="" croptop="-22f" cropbottom="-22f" cropleft="-5f" cropright="-10f"/>
          </v:shape>
        </w:pict>
      </w:r>
    </w:p>
    <w:p w14:paraId="219E8703"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7</w:t>
      </w:r>
      <w:r>
        <w:rPr>
          <w:b/>
          <w:bCs w:val="0"/>
        </w:rPr>
        <w:fldChar w:fldCharType="end"/>
      </w:r>
      <w:r>
        <w:rPr>
          <w:b/>
          <w:bCs w:val="0"/>
          <w:lang w:val="es-PE"/>
        </w:rPr>
        <w:t xml:space="preserve">. </w:t>
      </w:r>
      <w:r>
        <w:rPr>
          <w:lang w:val="es-PE"/>
        </w:rPr>
        <w:t xml:space="preserve">Diseño experimental del entrenamiento </w:t>
      </w:r>
      <w:r>
        <w:rPr>
          <w:lang w:val="es-PE"/>
        </w:rPr>
        <w:br/>
        <w:t>y validación temporal.</w:t>
      </w:r>
    </w:p>
    <w:p w14:paraId="59AE359C" w14:textId="77777777" w:rsidR="00000000" w:rsidRDefault="00000000">
      <w:pPr>
        <w:pStyle w:val="Ttulo3"/>
        <w:numPr>
          <w:ilvl w:val="2"/>
          <w:numId w:val="2"/>
        </w:numPr>
      </w:pPr>
      <w:r>
        <w:t>1) División Temporal</w:t>
      </w:r>
    </w:p>
    <w:p w14:paraId="0B4B925E" w14:textId="77777777" w:rsidR="00000000" w:rsidRDefault="00000000">
      <w:r>
        <w:t>El diseño experimental suprime la validación cruzada aleatoria tradicional, implementando en su lugar una estrategia cronológica acumulativa por bloques anuales (</w:t>
      </w:r>
      <w:r>
        <w:rPr>
          <w:i/>
          <w:iCs/>
        </w:rPr>
        <w:t>year-block walk-forward validation</w:t>
      </w:r>
      <w:r>
        <w:t>).</w:t>
      </w:r>
    </w:p>
    <w:p w14:paraId="6D3ADAD1" w14:textId="77777777" w:rsidR="00000000" w:rsidRDefault="00000000">
      <w:r>
        <w:t xml:space="preserve">Dentro del bloque de entrenamiento principal (2019–2023), se estructuran pliegues secuenciales ordenados en el tiempo; cada iteración entrena el modelo exclusivamente con datos de periodos anteriores al año bajo evaluación interna. </w:t>
      </w:r>
    </w:p>
    <w:p w14:paraId="05E96663" w14:textId="77777777" w:rsidR="00000000" w:rsidRDefault="00000000">
      <w:r>
        <w:t>De forma externa, el periodo 2024 se aisló como conjunto de validación y calibración (selección del clasificador y del umbral óptimo); las observaciones de 2025 se reservaron para el testeo final (</w:t>
      </w:r>
      <w:r>
        <w:rPr>
          <w:i/>
          <w:iCs/>
        </w:rPr>
        <w:t>hold-out</w:t>
      </w:r>
      <w:r>
        <w:t>); y el segmento parcial de 2026 se empleó como un conjunto de evaluación prospectiva independiente. Ninguno de estos tres horizontes temporales participó en la optimización de los hiperparámetros.</w:t>
      </w:r>
    </w:p>
    <w:p w14:paraId="66098B26" w14:textId="77777777" w:rsidR="00000000" w:rsidRDefault="00000000">
      <w:pPr>
        <w:pStyle w:val="Ttulo3"/>
        <w:numPr>
          <w:ilvl w:val="2"/>
          <w:numId w:val="2"/>
        </w:numPr>
      </w:pPr>
      <w:r>
        <w:t>2) Configuraciones de los Modelos</w:t>
      </w:r>
    </w:p>
    <w:p w14:paraId="172C30EF" w14:textId="77777777" w:rsidR="00000000" w:rsidRDefault="00000000">
      <w:pPr>
        <w:rPr>
          <w:b/>
        </w:rPr>
      </w:pPr>
      <w:r>
        <w:t>Se evaluaron nueve especificaciones algorítmicas (Tabla VIII), incluyendo un clasificador de referencia, dos modelos lineales/de margen (SVM calibrado mediante CalibratedClassifierCV), tres arquitecturas de boosting de gradiente, una variante de LightGBM optimizada bayesianamente y dos meta-modelos de ensamble (Sección III.D.2).</w:t>
      </w:r>
    </w:p>
    <w:p w14:paraId="155E0B88"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VIII</w:t>
      </w:r>
      <w:r>
        <w:rPr>
          <w:b/>
          <w:bCs w:val="0"/>
        </w:rPr>
        <w:fldChar w:fldCharType="end"/>
      </w:r>
      <w:r>
        <w:rPr>
          <w:b/>
          <w:bCs w:val="0"/>
        </w:rPr>
        <w:t>.</w:t>
      </w:r>
      <w:r>
        <w:rPr>
          <w:b/>
        </w:rPr>
        <w:t xml:space="preserve"> </w:t>
      </w:r>
      <w:r>
        <w:rPr>
          <w:bCs w:val="0"/>
        </w:rPr>
        <w:t>Configuración De Los Modelos Evaluados (Búsqueda De Hiperparámetros).</w:t>
      </w:r>
    </w:p>
    <w:tbl>
      <w:tblPr>
        <w:tblW w:w="0" w:type="auto"/>
        <w:tblLayout w:type="fixed"/>
        <w:tblLook w:val="0000" w:firstRow="0" w:lastRow="0" w:firstColumn="0" w:lastColumn="0" w:noHBand="0" w:noVBand="0"/>
      </w:tblPr>
      <w:tblGrid>
        <w:gridCol w:w="1647"/>
        <w:gridCol w:w="1784"/>
        <w:gridCol w:w="1227"/>
        <w:gridCol w:w="600"/>
      </w:tblGrid>
      <w:tr w:rsidR="00000000" w14:paraId="69EAB149" w14:textId="77777777">
        <w:tc>
          <w:tcPr>
            <w:tcW w:w="1647" w:type="dxa"/>
            <w:tcBorders>
              <w:bottom w:val="single" w:sz="4" w:space="0" w:color="000000"/>
            </w:tcBorders>
            <w:vAlign w:val="center"/>
          </w:tcPr>
          <w:p w14:paraId="53ED178D" w14:textId="77777777" w:rsidR="00000000" w:rsidRDefault="00000000">
            <w:pPr>
              <w:pStyle w:val="NoteTable"/>
              <w:spacing w:before="57" w:after="28"/>
              <w:jc w:val="left"/>
            </w:pPr>
            <w:r>
              <w:rPr>
                <w:b/>
                <w:bCs/>
                <w:i w:val="0"/>
                <w:iCs w:val="0"/>
              </w:rPr>
              <w:t>Modelo</w:t>
            </w:r>
          </w:p>
        </w:tc>
        <w:tc>
          <w:tcPr>
            <w:tcW w:w="1784" w:type="dxa"/>
            <w:tcBorders>
              <w:bottom w:val="single" w:sz="4" w:space="0" w:color="000000"/>
            </w:tcBorders>
            <w:vAlign w:val="center"/>
          </w:tcPr>
          <w:p w14:paraId="49AD7070" w14:textId="77777777" w:rsidR="00000000" w:rsidRDefault="00000000">
            <w:pPr>
              <w:pStyle w:val="NoteTable"/>
              <w:spacing w:before="57" w:after="28"/>
              <w:jc w:val="left"/>
            </w:pPr>
            <w:r>
              <w:rPr>
                <w:b/>
                <w:bCs/>
                <w:i w:val="0"/>
                <w:iCs w:val="0"/>
              </w:rPr>
              <w:t>Optimizador</w:t>
            </w:r>
          </w:p>
        </w:tc>
        <w:tc>
          <w:tcPr>
            <w:tcW w:w="1227" w:type="dxa"/>
            <w:tcBorders>
              <w:bottom w:val="single" w:sz="4" w:space="0" w:color="000000"/>
            </w:tcBorders>
            <w:vAlign w:val="center"/>
          </w:tcPr>
          <w:p w14:paraId="1DBF47F7" w14:textId="77777777" w:rsidR="00000000" w:rsidRDefault="00000000">
            <w:pPr>
              <w:pStyle w:val="NoteTable"/>
              <w:spacing w:before="57" w:after="28"/>
              <w:jc w:val="left"/>
            </w:pPr>
            <w:r>
              <w:rPr>
                <w:b/>
                <w:bCs/>
                <w:i w:val="0"/>
                <w:iCs w:val="0"/>
              </w:rPr>
              <w:t>N.º iteraciones</w:t>
            </w:r>
          </w:p>
        </w:tc>
        <w:tc>
          <w:tcPr>
            <w:tcW w:w="600" w:type="dxa"/>
            <w:tcBorders>
              <w:bottom w:val="single" w:sz="4" w:space="0" w:color="000000"/>
            </w:tcBorders>
            <w:vAlign w:val="center"/>
          </w:tcPr>
          <w:p w14:paraId="4E3888F3" w14:textId="77777777" w:rsidR="00000000" w:rsidRDefault="00000000">
            <w:pPr>
              <w:pStyle w:val="NoteTable"/>
              <w:spacing w:before="57" w:after="28"/>
              <w:jc w:val="left"/>
            </w:pPr>
            <w:r>
              <w:rPr>
                <w:b/>
                <w:bCs/>
                <w:i w:val="0"/>
                <w:iCs w:val="0"/>
              </w:rPr>
              <w:t>F1</w:t>
            </w:r>
          </w:p>
        </w:tc>
      </w:tr>
      <w:tr w:rsidR="00000000" w14:paraId="3C8710FA" w14:textId="77777777">
        <w:tc>
          <w:tcPr>
            <w:tcW w:w="1647" w:type="dxa"/>
            <w:vAlign w:val="center"/>
          </w:tcPr>
          <w:p w14:paraId="6BA023A5" w14:textId="77777777" w:rsidR="00000000" w:rsidRDefault="00000000">
            <w:pPr>
              <w:pStyle w:val="NoteTable"/>
              <w:spacing w:before="62" w:after="62"/>
              <w:jc w:val="left"/>
            </w:pPr>
            <w:r>
              <w:rPr>
                <w:i w:val="0"/>
                <w:iCs w:val="0"/>
              </w:rPr>
              <w:t>Dummy</w:t>
            </w:r>
          </w:p>
        </w:tc>
        <w:tc>
          <w:tcPr>
            <w:tcW w:w="1784" w:type="dxa"/>
            <w:vAlign w:val="center"/>
          </w:tcPr>
          <w:p w14:paraId="798460E2" w14:textId="77777777" w:rsidR="00000000" w:rsidRDefault="00000000">
            <w:pPr>
              <w:pStyle w:val="NoteTable"/>
              <w:spacing w:before="62" w:after="62"/>
              <w:jc w:val="left"/>
            </w:pPr>
            <w:r>
              <w:rPr>
                <w:i w:val="0"/>
                <w:iCs w:val="0"/>
              </w:rPr>
              <w:t>—</w:t>
            </w:r>
          </w:p>
        </w:tc>
        <w:tc>
          <w:tcPr>
            <w:tcW w:w="1227" w:type="dxa"/>
            <w:vAlign w:val="center"/>
          </w:tcPr>
          <w:p w14:paraId="6685A653" w14:textId="77777777" w:rsidR="00000000" w:rsidRDefault="00000000">
            <w:pPr>
              <w:pStyle w:val="NoteTable"/>
              <w:spacing w:before="62" w:after="62"/>
              <w:jc w:val="left"/>
            </w:pPr>
            <w:r>
              <w:rPr>
                <w:i w:val="0"/>
                <w:iCs w:val="0"/>
              </w:rPr>
              <w:t>—</w:t>
            </w:r>
          </w:p>
        </w:tc>
        <w:tc>
          <w:tcPr>
            <w:tcW w:w="600" w:type="dxa"/>
            <w:vAlign w:val="center"/>
          </w:tcPr>
          <w:p w14:paraId="304AB178" w14:textId="77777777" w:rsidR="00000000" w:rsidRDefault="00000000">
            <w:pPr>
              <w:pStyle w:val="NoteTable"/>
              <w:spacing w:before="62" w:after="62"/>
              <w:jc w:val="left"/>
            </w:pPr>
            <w:r>
              <w:rPr>
                <w:i w:val="0"/>
                <w:iCs w:val="0"/>
              </w:rPr>
              <w:t>—</w:t>
            </w:r>
          </w:p>
        </w:tc>
      </w:tr>
      <w:tr w:rsidR="00000000" w14:paraId="551F7491" w14:textId="77777777">
        <w:tc>
          <w:tcPr>
            <w:tcW w:w="1647" w:type="dxa"/>
            <w:vAlign w:val="center"/>
          </w:tcPr>
          <w:p w14:paraId="24A30C22" w14:textId="77777777" w:rsidR="00000000" w:rsidRDefault="00000000">
            <w:pPr>
              <w:pStyle w:val="NoteTable"/>
              <w:spacing w:before="62" w:after="62"/>
              <w:jc w:val="left"/>
            </w:pPr>
            <w:r>
              <w:rPr>
                <w:i w:val="0"/>
                <w:iCs w:val="0"/>
              </w:rPr>
              <w:t>Regresión logística</w:t>
            </w:r>
          </w:p>
        </w:tc>
        <w:tc>
          <w:tcPr>
            <w:tcW w:w="1784" w:type="dxa"/>
            <w:vAlign w:val="center"/>
          </w:tcPr>
          <w:p w14:paraId="1E152881" w14:textId="77777777" w:rsidR="00000000" w:rsidRDefault="00000000">
            <w:pPr>
              <w:pStyle w:val="NoteTable"/>
              <w:spacing w:before="62" w:after="62"/>
              <w:jc w:val="left"/>
            </w:pPr>
            <w:r>
              <w:rPr>
                <w:i w:val="0"/>
                <w:iCs w:val="0"/>
              </w:rPr>
              <w:t>RandomizedSearchCV</w:t>
            </w:r>
          </w:p>
        </w:tc>
        <w:tc>
          <w:tcPr>
            <w:tcW w:w="1227" w:type="dxa"/>
            <w:vAlign w:val="center"/>
          </w:tcPr>
          <w:p w14:paraId="2CBFA086" w14:textId="77777777" w:rsidR="00000000" w:rsidRDefault="00000000">
            <w:pPr>
              <w:pStyle w:val="NoteTable"/>
              <w:spacing w:before="62" w:after="62"/>
              <w:jc w:val="left"/>
            </w:pPr>
            <w:r>
              <w:rPr>
                <w:i w:val="0"/>
                <w:iCs w:val="0"/>
              </w:rPr>
              <w:t>100</w:t>
            </w:r>
          </w:p>
        </w:tc>
        <w:tc>
          <w:tcPr>
            <w:tcW w:w="600" w:type="dxa"/>
            <w:vAlign w:val="center"/>
          </w:tcPr>
          <w:p w14:paraId="4E7E0F58" w14:textId="77777777" w:rsidR="00000000" w:rsidRDefault="00000000">
            <w:pPr>
              <w:pStyle w:val="NoteTable"/>
              <w:spacing w:before="62" w:after="62"/>
              <w:jc w:val="left"/>
            </w:pPr>
            <w:r>
              <w:rPr>
                <w:i w:val="0"/>
                <w:iCs w:val="0"/>
              </w:rPr>
              <w:t>0.485</w:t>
            </w:r>
          </w:p>
        </w:tc>
      </w:tr>
      <w:tr w:rsidR="00000000" w14:paraId="12EBC4F0" w14:textId="77777777">
        <w:tc>
          <w:tcPr>
            <w:tcW w:w="1647" w:type="dxa"/>
            <w:vAlign w:val="center"/>
          </w:tcPr>
          <w:p w14:paraId="32C7B119" w14:textId="77777777" w:rsidR="00000000" w:rsidRDefault="00000000">
            <w:pPr>
              <w:pStyle w:val="NoteTable"/>
              <w:spacing w:before="62" w:after="62"/>
              <w:jc w:val="left"/>
            </w:pPr>
            <w:r>
              <w:rPr>
                <w:i w:val="0"/>
                <w:iCs w:val="0"/>
              </w:rPr>
              <w:t>SVM (LinearSVC+Platt)</w:t>
            </w:r>
          </w:p>
        </w:tc>
        <w:tc>
          <w:tcPr>
            <w:tcW w:w="1784" w:type="dxa"/>
            <w:vAlign w:val="center"/>
          </w:tcPr>
          <w:p w14:paraId="31E1DE6E" w14:textId="77777777" w:rsidR="00000000" w:rsidRDefault="00000000">
            <w:pPr>
              <w:pStyle w:val="NoteTable"/>
              <w:spacing w:before="62" w:after="62"/>
              <w:jc w:val="left"/>
            </w:pPr>
            <w:r>
              <w:rPr>
                <w:i w:val="0"/>
                <w:iCs w:val="0"/>
              </w:rPr>
              <w:t>RandomizedSearchCV</w:t>
            </w:r>
          </w:p>
        </w:tc>
        <w:tc>
          <w:tcPr>
            <w:tcW w:w="1227" w:type="dxa"/>
            <w:vAlign w:val="center"/>
          </w:tcPr>
          <w:p w14:paraId="411EED57" w14:textId="77777777" w:rsidR="00000000" w:rsidRDefault="00000000">
            <w:pPr>
              <w:pStyle w:val="NoteTable"/>
              <w:spacing w:before="62" w:after="62"/>
              <w:jc w:val="left"/>
            </w:pPr>
            <w:r>
              <w:rPr>
                <w:i w:val="0"/>
                <w:iCs w:val="0"/>
              </w:rPr>
              <w:t>100</w:t>
            </w:r>
          </w:p>
        </w:tc>
        <w:tc>
          <w:tcPr>
            <w:tcW w:w="600" w:type="dxa"/>
            <w:vAlign w:val="center"/>
          </w:tcPr>
          <w:p w14:paraId="5A83F21A" w14:textId="77777777" w:rsidR="00000000" w:rsidRDefault="00000000">
            <w:pPr>
              <w:pStyle w:val="NoteTable"/>
              <w:spacing w:before="62" w:after="62"/>
              <w:jc w:val="left"/>
            </w:pPr>
            <w:r>
              <w:rPr>
                <w:i w:val="0"/>
                <w:iCs w:val="0"/>
              </w:rPr>
              <w:t>0.268</w:t>
            </w:r>
          </w:p>
        </w:tc>
      </w:tr>
      <w:tr w:rsidR="00000000" w14:paraId="426A8DD8" w14:textId="77777777">
        <w:tc>
          <w:tcPr>
            <w:tcW w:w="1647" w:type="dxa"/>
            <w:vAlign w:val="center"/>
          </w:tcPr>
          <w:p w14:paraId="79EED778" w14:textId="77777777" w:rsidR="00000000" w:rsidRDefault="00000000">
            <w:pPr>
              <w:pStyle w:val="NoteTable"/>
              <w:spacing w:before="62" w:after="62"/>
              <w:jc w:val="left"/>
            </w:pPr>
            <w:r>
              <w:rPr>
                <w:i w:val="0"/>
                <w:iCs w:val="0"/>
              </w:rPr>
              <w:t>XGBoost</w:t>
            </w:r>
          </w:p>
        </w:tc>
        <w:tc>
          <w:tcPr>
            <w:tcW w:w="1784" w:type="dxa"/>
            <w:vAlign w:val="center"/>
          </w:tcPr>
          <w:p w14:paraId="5ACCFDD8" w14:textId="77777777" w:rsidR="00000000" w:rsidRDefault="00000000">
            <w:pPr>
              <w:pStyle w:val="NoteTable"/>
              <w:spacing w:before="62" w:after="62"/>
              <w:jc w:val="left"/>
            </w:pPr>
            <w:r>
              <w:rPr>
                <w:i w:val="0"/>
                <w:iCs w:val="0"/>
              </w:rPr>
              <w:t>RandomizedSearchCV</w:t>
            </w:r>
          </w:p>
        </w:tc>
        <w:tc>
          <w:tcPr>
            <w:tcW w:w="1227" w:type="dxa"/>
            <w:vAlign w:val="center"/>
          </w:tcPr>
          <w:p w14:paraId="05332D00" w14:textId="77777777" w:rsidR="00000000" w:rsidRDefault="00000000">
            <w:pPr>
              <w:pStyle w:val="NoteTable"/>
              <w:spacing w:before="62" w:after="62"/>
              <w:jc w:val="left"/>
            </w:pPr>
            <w:r>
              <w:rPr>
                <w:i w:val="0"/>
                <w:iCs w:val="0"/>
              </w:rPr>
              <w:t>100</w:t>
            </w:r>
          </w:p>
        </w:tc>
        <w:tc>
          <w:tcPr>
            <w:tcW w:w="600" w:type="dxa"/>
            <w:vAlign w:val="center"/>
          </w:tcPr>
          <w:p w14:paraId="17521133" w14:textId="77777777" w:rsidR="00000000" w:rsidRDefault="00000000">
            <w:pPr>
              <w:pStyle w:val="NoteTable"/>
              <w:spacing w:before="62" w:after="62"/>
              <w:jc w:val="left"/>
            </w:pPr>
            <w:r>
              <w:rPr>
                <w:i w:val="0"/>
                <w:iCs w:val="0"/>
              </w:rPr>
              <w:t>0.553</w:t>
            </w:r>
          </w:p>
        </w:tc>
      </w:tr>
      <w:tr w:rsidR="00000000" w14:paraId="1A76A9E5" w14:textId="77777777">
        <w:tc>
          <w:tcPr>
            <w:tcW w:w="1647" w:type="dxa"/>
            <w:vAlign w:val="center"/>
          </w:tcPr>
          <w:p w14:paraId="0CD079C7" w14:textId="77777777" w:rsidR="00000000" w:rsidRDefault="00000000">
            <w:pPr>
              <w:pStyle w:val="NoteTable"/>
              <w:spacing w:before="62" w:after="62"/>
              <w:jc w:val="left"/>
            </w:pPr>
            <w:r>
              <w:rPr>
                <w:i w:val="0"/>
                <w:iCs w:val="0"/>
              </w:rPr>
              <w:t>LightGBM</w:t>
            </w:r>
          </w:p>
        </w:tc>
        <w:tc>
          <w:tcPr>
            <w:tcW w:w="1784" w:type="dxa"/>
            <w:vAlign w:val="center"/>
          </w:tcPr>
          <w:p w14:paraId="34DC86C2" w14:textId="77777777" w:rsidR="00000000" w:rsidRDefault="00000000">
            <w:pPr>
              <w:pStyle w:val="NoteTable"/>
              <w:spacing w:before="62" w:after="62"/>
              <w:jc w:val="left"/>
            </w:pPr>
            <w:r>
              <w:rPr>
                <w:i w:val="0"/>
                <w:iCs w:val="0"/>
              </w:rPr>
              <w:t>RandomizedSearchCV</w:t>
            </w:r>
          </w:p>
        </w:tc>
        <w:tc>
          <w:tcPr>
            <w:tcW w:w="1227" w:type="dxa"/>
            <w:vAlign w:val="center"/>
          </w:tcPr>
          <w:p w14:paraId="0B2A948D" w14:textId="77777777" w:rsidR="00000000" w:rsidRDefault="00000000">
            <w:pPr>
              <w:pStyle w:val="NoteTable"/>
              <w:spacing w:before="62" w:after="62"/>
              <w:jc w:val="left"/>
            </w:pPr>
            <w:r>
              <w:rPr>
                <w:i w:val="0"/>
                <w:iCs w:val="0"/>
              </w:rPr>
              <w:t>100</w:t>
            </w:r>
          </w:p>
        </w:tc>
        <w:tc>
          <w:tcPr>
            <w:tcW w:w="600" w:type="dxa"/>
            <w:vAlign w:val="center"/>
          </w:tcPr>
          <w:p w14:paraId="7B91910D" w14:textId="77777777" w:rsidR="00000000" w:rsidRDefault="00000000">
            <w:pPr>
              <w:pStyle w:val="NoteTable"/>
              <w:spacing w:before="62" w:after="62"/>
              <w:jc w:val="left"/>
            </w:pPr>
            <w:r>
              <w:rPr>
                <w:i w:val="0"/>
                <w:iCs w:val="0"/>
              </w:rPr>
              <w:t>0.563</w:t>
            </w:r>
          </w:p>
        </w:tc>
      </w:tr>
      <w:tr w:rsidR="00000000" w14:paraId="77D9B1D7" w14:textId="77777777">
        <w:tc>
          <w:tcPr>
            <w:tcW w:w="1647" w:type="dxa"/>
            <w:vAlign w:val="center"/>
          </w:tcPr>
          <w:p w14:paraId="55606791" w14:textId="77777777" w:rsidR="00000000" w:rsidRDefault="00000000">
            <w:pPr>
              <w:pStyle w:val="NoteTable"/>
              <w:spacing w:before="62" w:after="62"/>
              <w:jc w:val="left"/>
            </w:pPr>
            <w:r>
              <w:rPr>
                <w:i w:val="0"/>
                <w:iCs w:val="0"/>
              </w:rPr>
              <w:t>CatBoost</w:t>
            </w:r>
          </w:p>
        </w:tc>
        <w:tc>
          <w:tcPr>
            <w:tcW w:w="1784" w:type="dxa"/>
            <w:vAlign w:val="center"/>
          </w:tcPr>
          <w:p w14:paraId="6E721A69" w14:textId="77777777" w:rsidR="00000000" w:rsidRDefault="00000000">
            <w:pPr>
              <w:pStyle w:val="NoteTable"/>
              <w:spacing w:before="62" w:after="62"/>
              <w:jc w:val="left"/>
            </w:pPr>
            <w:r>
              <w:rPr>
                <w:i w:val="0"/>
                <w:iCs w:val="0"/>
              </w:rPr>
              <w:t>RandomizedSearchCV</w:t>
            </w:r>
          </w:p>
        </w:tc>
        <w:tc>
          <w:tcPr>
            <w:tcW w:w="1227" w:type="dxa"/>
            <w:vAlign w:val="center"/>
          </w:tcPr>
          <w:p w14:paraId="2A6C2E33" w14:textId="77777777" w:rsidR="00000000" w:rsidRDefault="00000000">
            <w:pPr>
              <w:pStyle w:val="NoteTable"/>
              <w:spacing w:before="62" w:after="62"/>
              <w:jc w:val="left"/>
            </w:pPr>
            <w:r>
              <w:rPr>
                <w:i w:val="0"/>
                <w:iCs w:val="0"/>
              </w:rPr>
              <w:t>100</w:t>
            </w:r>
          </w:p>
        </w:tc>
        <w:tc>
          <w:tcPr>
            <w:tcW w:w="600" w:type="dxa"/>
            <w:vAlign w:val="center"/>
          </w:tcPr>
          <w:p w14:paraId="13351E57" w14:textId="77777777" w:rsidR="00000000" w:rsidRDefault="00000000">
            <w:pPr>
              <w:pStyle w:val="NoteTable"/>
              <w:spacing w:before="62" w:after="62"/>
              <w:jc w:val="left"/>
            </w:pPr>
            <w:r>
              <w:rPr>
                <w:i w:val="0"/>
                <w:iCs w:val="0"/>
              </w:rPr>
              <w:t>0.563</w:t>
            </w:r>
          </w:p>
        </w:tc>
      </w:tr>
      <w:tr w:rsidR="00000000" w14:paraId="7B25921B" w14:textId="77777777">
        <w:tc>
          <w:tcPr>
            <w:tcW w:w="1647" w:type="dxa"/>
            <w:vAlign w:val="center"/>
          </w:tcPr>
          <w:p w14:paraId="758874D2" w14:textId="77777777" w:rsidR="00000000" w:rsidRDefault="00000000">
            <w:pPr>
              <w:pStyle w:val="NoteTable"/>
              <w:spacing w:before="62" w:after="62"/>
              <w:jc w:val="left"/>
            </w:pPr>
            <w:r>
              <w:rPr>
                <w:i w:val="0"/>
                <w:iCs w:val="0"/>
              </w:rPr>
              <w:t>LightGBM (Optuna)</w:t>
            </w:r>
          </w:p>
        </w:tc>
        <w:tc>
          <w:tcPr>
            <w:tcW w:w="1784" w:type="dxa"/>
            <w:vAlign w:val="center"/>
          </w:tcPr>
          <w:p w14:paraId="0EF695E7" w14:textId="77777777" w:rsidR="00000000" w:rsidRDefault="00000000">
            <w:pPr>
              <w:pStyle w:val="NoteTable"/>
              <w:spacing w:before="62" w:after="62"/>
              <w:jc w:val="left"/>
            </w:pPr>
            <w:r>
              <w:rPr>
                <w:i w:val="0"/>
                <w:iCs w:val="0"/>
              </w:rPr>
              <w:t>TPE (Optuna)</w:t>
            </w:r>
          </w:p>
        </w:tc>
        <w:tc>
          <w:tcPr>
            <w:tcW w:w="1227" w:type="dxa"/>
            <w:vAlign w:val="center"/>
          </w:tcPr>
          <w:p w14:paraId="24E16AE7" w14:textId="77777777" w:rsidR="00000000" w:rsidRDefault="00000000">
            <w:pPr>
              <w:pStyle w:val="NoteTable"/>
              <w:spacing w:before="62" w:after="62"/>
              <w:jc w:val="left"/>
            </w:pPr>
            <w:r>
              <w:rPr>
                <w:i w:val="0"/>
                <w:iCs w:val="0"/>
              </w:rPr>
              <w:t>100</w:t>
            </w:r>
          </w:p>
        </w:tc>
        <w:tc>
          <w:tcPr>
            <w:tcW w:w="600" w:type="dxa"/>
            <w:vAlign w:val="center"/>
          </w:tcPr>
          <w:p w14:paraId="76CEEB4B" w14:textId="77777777" w:rsidR="00000000" w:rsidRDefault="00000000">
            <w:pPr>
              <w:pStyle w:val="NoteTable"/>
              <w:spacing w:before="62" w:after="62"/>
              <w:jc w:val="left"/>
            </w:pPr>
            <w:r>
              <w:rPr>
                <w:i w:val="0"/>
                <w:iCs w:val="0"/>
              </w:rPr>
              <w:t>0.568</w:t>
            </w:r>
          </w:p>
        </w:tc>
      </w:tr>
      <w:tr w:rsidR="00000000" w14:paraId="784FBFD7" w14:textId="77777777">
        <w:tc>
          <w:tcPr>
            <w:tcW w:w="1647" w:type="dxa"/>
            <w:vAlign w:val="center"/>
          </w:tcPr>
          <w:p w14:paraId="6B630B5E" w14:textId="77777777" w:rsidR="00000000" w:rsidRDefault="00000000">
            <w:pPr>
              <w:pStyle w:val="NoteTable"/>
              <w:spacing w:before="62" w:after="62"/>
              <w:jc w:val="left"/>
            </w:pPr>
            <w:r>
              <w:rPr>
                <w:i w:val="0"/>
                <w:iCs w:val="0"/>
              </w:rPr>
              <w:t>VotingClassifier</w:t>
            </w:r>
          </w:p>
        </w:tc>
        <w:tc>
          <w:tcPr>
            <w:tcW w:w="1784" w:type="dxa"/>
            <w:vAlign w:val="center"/>
          </w:tcPr>
          <w:p w14:paraId="51B81533" w14:textId="77777777" w:rsidR="00000000" w:rsidRDefault="00000000">
            <w:pPr>
              <w:pStyle w:val="NoteTable"/>
              <w:spacing w:before="62" w:after="62"/>
              <w:jc w:val="left"/>
            </w:pPr>
            <w:r>
              <w:rPr>
                <w:i w:val="0"/>
                <w:iCs w:val="0"/>
              </w:rPr>
              <w:t>—</w:t>
            </w:r>
            <w:r>
              <w:rPr>
                <w:rFonts w:eastAsia="Times"/>
                <w:i w:val="0"/>
                <w:iCs w:val="0"/>
              </w:rPr>
              <w:t xml:space="preserve"> </w:t>
            </w:r>
            <w:r>
              <w:rPr>
                <w:i w:val="0"/>
                <w:iCs w:val="0"/>
              </w:rPr>
              <w:t>(ensamble, sin ajuste)</w:t>
            </w:r>
          </w:p>
        </w:tc>
        <w:tc>
          <w:tcPr>
            <w:tcW w:w="1227" w:type="dxa"/>
            <w:vAlign w:val="center"/>
          </w:tcPr>
          <w:p w14:paraId="1E122FB4" w14:textId="77777777" w:rsidR="00000000" w:rsidRDefault="00000000">
            <w:pPr>
              <w:pStyle w:val="NoteTable"/>
              <w:spacing w:before="62" w:after="62"/>
              <w:jc w:val="left"/>
            </w:pPr>
            <w:r>
              <w:rPr>
                <w:i w:val="0"/>
                <w:iCs w:val="0"/>
              </w:rPr>
              <w:t>—</w:t>
            </w:r>
          </w:p>
        </w:tc>
        <w:tc>
          <w:tcPr>
            <w:tcW w:w="600" w:type="dxa"/>
            <w:vAlign w:val="center"/>
          </w:tcPr>
          <w:p w14:paraId="3ABCCEA1" w14:textId="77777777" w:rsidR="00000000" w:rsidRDefault="00000000">
            <w:pPr>
              <w:pStyle w:val="NoteTable"/>
              <w:spacing w:before="62" w:after="62"/>
              <w:jc w:val="left"/>
            </w:pPr>
            <w:r>
              <w:rPr>
                <w:i w:val="0"/>
                <w:iCs w:val="0"/>
              </w:rPr>
              <w:t>—</w:t>
            </w:r>
          </w:p>
        </w:tc>
      </w:tr>
      <w:tr w:rsidR="00000000" w14:paraId="180CA3C3" w14:textId="77777777">
        <w:tc>
          <w:tcPr>
            <w:tcW w:w="1647" w:type="dxa"/>
            <w:vAlign w:val="center"/>
          </w:tcPr>
          <w:p w14:paraId="267F94A4" w14:textId="77777777" w:rsidR="00000000" w:rsidRDefault="00000000">
            <w:pPr>
              <w:pStyle w:val="NoteTable"/>
              <w:spacing w:before="62" w:after="62"/>
              <w:jc w:val="left"/>
            </w:pPr>
            <w:r>
              <w:rPr>
                <w:i w:val="0"/>
                <w:iCs w:val="0"/>
              </w:rPr>
              <w:t>Stacking temporal</w:t>
            </w:r>
          </w:p>
        </w:tc>
        <w:tc>
          <w:tcPr>
            <w:tcW w:w="1784" w:type="dxa"/>
            <w:vAlign w:val="center"/>
          </w:tcPr>
          <w:p w14:paraId="07762309" w14:textId="77777777" w:rsidR="00000000" w:rsidRDefault="00000000">
            <w:pPr>
              <w:pStyle w:val="NoteTable"/>
              <w:spacing w:before="62" w:after="62"/>
              <w:jc w:val="left"/>
            </w:pPr>
            <w:r>
              <w:rPr>
                <w:i w:val="0"/>
                <w:iCs w:val="0"/>
              </w:rPr>
              <w:t>—</w:t>
            </w:r>
            <w:r>
              <w:rPr>
                <w:rFonts w:eastAsia="Times"/>
                <w:i w:val="0"/>
                <w:iCs w:val="0"/>
              </w:rPr>
              <w:t xml:space="preserve"> </w:t>
            </w:r>
            <w:r>
              <w:rPr>
                <w:i w:val="0"/>
                <w:iCs w:val="0"/>
              </w:rPr>
              <w:t>(meta-modelo sobre OOF)</w:t>
            </w:r>
          </w:p>
        </w:tc>
        <w:tc>
          <w:tcPr>
            <w:tcW w:w="1227" w:type="dxa"/>
            <w:vAlign w:val="center"/>
          </w:tcPr>
          <w:p w14:paraId="5A2AC05F" w14:textId="77777777" w:rsidR="00000000" w:rsidRDefault="00000000">
            <w:pPr>
              <w:pStyle w:val="NoteTable"/>
              <w:spacing w:before="62" w:after="62"/>
              <w:jc w:val="left"/>
            </w:pPr>
            <w:r>
              <w:rPr>
                <w:i w:val="0"/>
                <w:iCs w:val="0"/>
              </w:rPr>
              <w:t>—</w:t>
            </w:r>
          </w:p>
        </w:tc>
        <w:tc>
          <w:tcPr>
            <w:tcW w:w="600" w:type="dxa"/>
            <w:vAlign w:val="center"/>
          </w:tcPr>
          <w:p w14:paraId="3522EDE1" w14:textId="77777777" w:rsidR="00000000" w:rsidRDefault="00000000">
            <w:pPr>
              <w:pStyle w:val="NoteTable"/>
              <w:spacing w:before="62" w:after="62"/>
              <w:jc w:val="left"/>
            </w:pPr>
            <w:r>
              <w:rPr>
                <w:i w:val="0"/>
                <w:iCs w:val="0"/>
              </w:rPr>
              <w:t>—</w:t>
            </w:r>
          </w:p>
        </w:tc>
      </w:tr>
    </w:tbl>
    <w:p w14:paraId="37F32D35" w14:textId="77777777" w:rsidR="00000000" w:rsidRDefault="00000000">
      <w:pPr>
        <w:pStyle w:val="NoteTable"/>
      </w:pPr>
      <w:r>
        <w:t>Nota: los espacios de búsqueda completos por hiperparámetro se detallan en el repositorio de código asociado.</w:t>
      </w:r>
    </w:p>
    <w:p w14:paraId="071A1B08" w14:textId="77777777" w:rsidR="00000000" w:rsidRDefault="00000000">
      <w:r>
        <w:lastRenderedPageBreak/>
        <w:t>Para mitigar un desbalance de clases nativo de la matriz (86 % contra 14 %) se hizo que los modelos compatibles incorporaran técnicas de penalización interna mediante ponderación por su configuración de función de pérdida (</w:t>
      </w:r>
      <w:r>
        <w:rPr>
          <w:i/>
          <w:iCs/>
        </w:rPr>
        <w:t>class_weight="balanced"</w:t>
      </w:r>
      <w:r>
        <w:t xml:space="preserve"> o </w:t>
      </w:r>
      <w:r>
        <w:rPr>
          <w:i/>
          <w:iCs/>
        </w:rPr>
        <w:t>scale_pos_weight</w:t>
      </w:r>
      <w:r>
        <w:t xml:space="preserve">), omitiendo el remuestreo sintético debido a que la asimetría observada no requería una expansión artificial del espacio muestral. </w:t>
      </w:r>
    </w:p>
    <w:p w14:paraId="0F8BAE0B" w14:textId="77777777" w:rsidR="00000000" w:rsidRDefault="00000000">
      <w:r>
        <w:t>Sobre esta base, se construyeron dos meta-modelos combinando los cinco estimadores base con mejor F1 de validación cruzada interna —regresión logística, LightGBM, LightGBM optimizado vía Optuna, XGBoost y CatBoost, excluyendo SVM por su bajo desempeño (F1 CV = 0.268)—: un ensamble por votación suave (VotingClassifier), que promedia sin ponderación las probabilidades de cinco modelos (Ec. 3), y un clasificador por apilamiento temporal (stacking), que entrena una regresión logística sobre las cinco probabilidades out</w:t>
      </w:r>
      <w:r>
        <w:noBreakHyphen/>
        <w:t>of</w:t>
      </w:r>
      <w:r>
        <w:noBreakHyphen/>
        <w:t>fold como meta</w:t>
      </w:r>
      <w:r>
        <w:noBreakHyphen/>
        <w:t>características (Ec. 4, Sección III.D.3).</w:t>
      </w:r>
    </w:p>
    <w:p w14:paraId="7CA08EF2" w14:textId="77777777" w:rsidR="00000000" w:rsidRDefault="00000000"/>
    <w:tbl>
      <w:tblPr>
        <w:tblW w:w="0" w:type="auto"/>
        <w:jc w:val="center"/>
        <w:tblLayout w:type="fixed"/>
        <w:tblLook w:val="0000" w:firstRow="0" w:lastRow="0" w:firstColumn="0" w:lastColumn="0" w:noHBand="0" w:noVBand="0"/>
      </w:tblPr>
      <w:tblGrid>
        <w:gridCol w:w="3376"/>
        <w:gridCol w:w="450"/>
      </w:tblGrid>
      <w:tr w:rsidR="00000000" w14:paraId="0B0E3F6B" w14:textId="77777777">
        <w:trPr>
          <w:jc w:val="center"/>
        </w:trPr>
        <w:tc>
          <w:tcPr>
            <w:tcW w:w="3376" w:type="dxa"/>
            <w:vAlign w:val="center"/>
          </w:tcPr>
          <w:p w14:paraId="3698C789" w14:textId="77777777" w:rsidR="00000000" w:rsidRDefault="00000000">
            <w:pPr>
              <w:ind w:firstLine="0"/>
              <w:jc w:val="left"/>
            </w:pPr>
            <w:r>
              <w:pict w14:anchorId="1EF32FCC">
                <v:shape id="_x0000_i1036" type="#_x0000_t75" style="width:158.4pt;height:17.4pt" filled="t">
                  <v:fill color2="black"/>
                  <v:imagedata r:id="rId24" o:title="" croptop="-577f" cropbottom="-577f" cropleft="-42f" cropright="-104f"/>
                </v:shape>
              </w:pict>
            </w:r>
          </w:p>
        </w:tc>
        <w:tc>
          <w:tcPr>
            <w:tcW w:w="450" w:type="dxa"/>
            <w:vAlign w:val="center"/>
          </w:tcPr>
          <w:p w14:paraId="1E2BA2B8" w14:textId="77777777" w:rsidR="00000000" w:rsidRDefault="00000000">
            <w:pPr>
              <w:ind w:firstLine="0"/>
              <w:jc w:val="left"/>
            </w:pPr>
            <w:r>
              <w:t>(</w:t>
            </w:r>
            <w:fldSimple w:instr=" SEQ &quot;Ecu&quot; \* ARABIC ">
              <w:r>
                <w:t>3</w:t>
              </w:r>
            </w:fldSimple>
            <w:r>
              <w:t>)</w:t>
            </w:r>
          </w:p>
        </w:tc>
      </w:tr>
    </w:tbl>
    <w:p w14:paraId="3CA3A5CB" w14:textId="77777777" w:rsidR="00000000" w:rsidRDefault="00000000"/>
    <w:p w14:paraId="6D1C1FE1" w14:textId="77777777" w:rsidR="00000000" w:rsidRDefault="00000000">
      <w:pPr>
        <w:pStyle w:val="Ttulo3"/>
        <w:numPr>
          <w:ilvl w:val="2"/>
          <w:numId w:val="2"/>
        </w:numPr>
      </w:pPr>
      <w:r>
        <w:t>3) Estrategia de Optimización</w:t>
      </w:r>
    </w:p>
    <w:p w14:paraId="6AFFF159" w14:textId="77777777" w:rsidR="00000000" w:rsidRDefault="00000000">
      <w:r>
        <w:t xml:space="preserve">Los hiperparámetros de los estimadores base se sintonizaron mediante </w:t>
      </w:r>
      <w:r>
        <w:rPr>
          <w:i/>
          <w:iCs/>
        </w:rPr>
        <w:t>RandomizedSearchCV</w:t>
      </w:r>
      <w:r>
        <w:t xml:space="preserve"> (N = 100 iteraciones), maximizando la métrica F1-</w:t>
      </w:r>
      <w:r>
        <w:rPr>
          <w:i/>
          <w:iCs/>
        </w:rPr>
        <w:t>score</w:t>
      </w:r>
      <w:r>
        <w:t xml:space="preserve"> sobre los pliegues temporales definidos previamente.</w:t>
      </w:r>
    </w:p>
    <w:p w14:paraId="77DAD1D9" w14:textId="77777777" w:rsidR="00000000" w:rsidRDefault="00000000">
      <w:r>
        <w:t>La arquitectura LightGBM se exploró con optimización bayesiana (TPE en Optuna, 100 ensayos) maximizando el F1 interanual como configuración de comparación (Tabla VIII); sin embargo, el modelo final elegido fue LightGBM con RandomizedSearchCV, al lograr mejor F1 en la validación 2024 (Tabla X).</w:t>
      </w:r>
    </w:p>
    <w:p w14:paraId="20B16F0A" w14:textId="77777777" w:rsidR="00000000" w:rsidRDefault="00000000">
      <w:r>
        <w:t>El meta</w:t>
      </w:r>
      <w:r>
        <w:noBreakHyphen/>
        <w:t xml:space="preserve">modelo de </w:t>
      </w:r>
      <w:r>
        <w:rPr>
          <w:i/>
          <w:iCs/>
        </w:rPr>
        <w:t>stacking</w:t>
      </w:r>
      <w:r>
        <w:t xml:space="preserve"> (regresión logística) se entrena sobre las probabilidades </w:t>
      </w:r>
      <w:r>
        <w:rPr>
          <w:i/>
          <w:iCs/>
        </w:rPr>
        <w:t>out</w:t>
      </w:r>
      <w:r>
        <w:rPr>
          <w:i/>
          <w:iCs/>
        </w:rPr>
        <w:noBreakHyphen/>
        <w:t>of</w:t>
      </w:r>
      <w:r>
        <w:rPr>
          <w:i/>
          <w:iCs/>
        </w:rPr>
        <w:noBreakHyphen/>
        <w:t>fold</w:t>
      </w:r>
      <w:r>
        <w:t xml:space="preserve"> de los cinco modelos base como meta</w:t>
      </w:r>
      <w:r>
        <w:noBreakHyphen/>
        <w:t>características (Ec. 4).</w:t>
      </w:r>
    </w:p>
    <w:p w14:paraId="51FD9A30" w14:textId="77777777" w:rsidR="00000000" w:rsidRDefault="00000000"/>
    <w:tbl>
      <w:tblPr>
        <w:tblW w:w="0" w:type="auto"/>
        <w:jc w:val="center"/>
        <w:tblLayout w:type="fixed"/>
        <w:tblLook w:val="0000" w:firstRow="0" w:lastRow="0" w:firstColumn="0" w:lastColumn="0" w:noHBand="0" w:noVBand="0"/>
      </w:tblPr>
      <w:tblGrid>
        <w:gridCol w:w="4800"/>
        <w:gridCol w:w="450"/>
      </w:tblGrid>
      <w:tr w:rsidR="00000000" w14:paraId="4DDEB07D" w14:textId="77777777">
        <w:trPr>
          <w:jc w:val="center"/>
        </w:trPr>
        <w:tc>
          <w:tcPr>
            <w:tcW w:w="4800" w:type="dxa"/>
          </w:tcPr>
          <w:p w14:paraId="09110F30" w14:textId="77777777" w:rsidR="00000000" w:rsidRDefault="00000000">
            <w:pPr>
              <w:ind w:firstLine="0"/>
            </w:pPr>
            <w:r>
              <w:rPr>
                <w:lang w:val="es-PE" w:eastAsia="es-PE"/>
              </w:rPr>
              <w:pict w14:anchorId="727D66BE">
                <v:shape id="_x0000_i1037" type="#_x0000_t75" style="width:229.2pt;height:14.4pt" filled="t">
                  <v:fill color2="black"/>
                  <v:imagedata r:id="rId25" o:title="" croptop="-326f" cropbottom="-326f" cropleft="-15f" cropright="-15f"/>
                </v:shape>
              </w:pict>
            </w:r>
          </w:p>
        </w:tc>
        <w:tc>
          <w:tcPr>
            <w:tcW w:w="450" w:type="dxa"/>
          </w:tcPr>
          <w:p w14:paraId="6E805F8E" w14:textId="77777777" w:rsidR="00000000" w:rsidRDefault="00000000">
            <w:pPr>
              <w:ind w:firstLine="0"/>
            </w:pPr>
            <w:r>
              <w:t>(</w:t>
            </w:r>
            <w:fldSimple w:instr=" SEQ &quot;Ecu&quot; \* ARABIC ">
              <w:r>
                <w:t>4</w:t>
              </w:r>
            </w:fldSimple>
            <w:r>
              <w:t>)</w:t>
            </w:r>
          </w:p>
        </w:tc>
      </w:tr>
    </w:tbl>
    <w:p w14:paraId="73258672" w14:textId="77777777" w:rsidR="00000000" w:rsidRDefault="00000000"/>
    <w:p w14:paraId="01A3B7DB" w14:textId="77777777" w:rsidR="00000000" w:rsidRDefault="00000000">
      <w:r>
        <w:t xml:space="preserve">donde σ es la función logística y w, b son los parámetros ajustados por regresión logística. Este entrenamiento se realizó únicamente sobre las predicciones </w:t>
      </w:r>
      <w:r>
        <w:rPr>
          <w:i/>
          <w:iCs/>
        </w:rPr>
        <w:t>out-of-fold</w:t>
      </w:r>
      <w:r>
        <w:t xml:space="preserve"> de los cinco modelos base en cuatro pliegues temporales, evitando sesgos por sobreajuste. Para la inferencia, los modelos base se reentrenaron en todo el set de entrenamiento, manteniendo fijo el meta</w:t>
      </w:r>
      <w:r>
        <w:noBreakHyphen/>
        <w:t>modelo.</w:t>
      </w:r>
    </w:p>
    <w:p w14:paraId="00D10A87" w14:textId="77777777" w:rsidR="00000000" w:rsidRDefault="00000000">
      <w:pPr>
        <w:pStyle w:val="Ttulo3"/>
        <w:numPr>
          <w:ilvl w:val="2"/>
          <w:numId w:val="2"/>
        </w:numPr>
      </w:pPr>
      <w:r>
        <w:t>4) Protocolo de Evaluación</w:t>
      </w:r>
    </w:p>
    <w:p w14:paraId="6E8D98D6" w14:textId="77777777" w:rsidR="00000000" w:rsidRDefault="00000000">
      <w:r>
        <w:t>El clasificador propuesto se seleccionó tras contrastar las métricas F1-</w:t>
      </w:r>
      <w:r>
        <w:rPr>
          <w:i/>
          <w:iCs/>
        </w:rPr>
        <w:t>score</w:t>
      </w:r>
      <w:r>
        <w:t xml:space="preserve"> y ROC-AUC sobre el bloque de validación 2024, dando a LightGBM el puesto como el modelo principal.</w:t>
      </w:r>
    </w:p>
    <w:p w14:paraId="492D2D22" w14:textId="77777777" w:rsidR="00000000" w:rsidRDefault="00000000">
      <w:r>
        <w:t xml:space="preserve">El umbral de decisión se calibró mediante una búsqueda en cuadrícula granular (91 valores en el rango [0.05, 0.95]), maximizando el F1 en validación, lo que arrojó un punto de corte óptimo de τ = 0.66; de forma paralela, se estimaron umbrales alternativos (índice J de Youden, precisión y </w:t>
      </w:r>
      <w:r>
        <w:rPr>
          <w:i/>
          <w:iCs/>
        </w:rPr>
        <w:t>recall</w:t>
      </w:r>
      <w:r>
        <w:t xml:space="preserve"> objetivo) para análisis de sensibilidad operativa.</w:t>
      </w:r>
    </w:p>
    <w:p w14:paraId="65294558" w14:textId="77777777" w:rsidR="00000000" w:rsidRDefault="00000000">
      <w:r>
        <w:t xml:space="preserve">El desempeño predictivo final se reportó formalmente sobre el conjunto de prueba 2025 y el bloque exploratorio 2026 empleando un vector extendido de métricas: exactitud, precisión, </w:t>
      </w:r>
      <w:r>
        <w:rPr>
          <w:i/>
          <w:iCs/>
        </w:rPr>
        <w:t>recall</w:t>
      </w:r>
      <w:r>
        <w:t>, F1-</w:t>
      </w:r>
      <w:r>
        <w:rPr>
          <w:i/>
          <w:iCs/>
        </w:rPr>
        <w:t>score</w:t>
      </w:r>
      <w:r>
        <w:t xml:space="preserve">, ROC-AUC, PR-AUC, exactitud balanceada, especificidad, coeficiente de correlación de Matthews (MCC), kappa de Cohen, valor predictivo negativo (VPN), tasa de falsos positivos (FPR), tasa de falsos negativos (FNR) y razones de verosimilitud (LR+ y LR−). </w:t>
      </w:r>
    </w:p>
    <w:p w14:paraId="7B56328F" w14:textId="77777777" w:rsidR="00000000" w:rsidRDefault="00000000">
      <w:pPr>
        <w:rPr>
          <w:b/>
        </w:rPr>
      </w:pPr>
      <w:r>
        <w:t xml:space="preserve">Todos los estimadores se complementaron con intervalos de confianza al 95 % mediante colas de </w:t>
      </w:r>
      <w:r>
        <w:rPr>
          <w:i/>
          <w:iCs/>
        </w:rPr>
        <w:t>bootstrap</w:t>
      </w:r>
      <w:r>
        <w:t>, curvas de calibración probabilística y el análisis de desvío temporal de características utilizando el Índice de Estabilidad de la Población (PSI) respecto al bloque base de entrenamiento.</w:t>
      </w:r>
    </w:p>
    <w:p w14:paraId="34DE7FE0"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IX</w:t>
      </w:r>
      <w:r>
        <w:rPr>
          <w:b/>
          <w:bCs w:val="0"/>
        </w:rPr>
        <w:fldChar w:fldCharType="end"/>
      </w:r>
      <w:r>
        <w:rPr>
          <w:b/>
          <w:bCs w:val="0"/>
        </w:rPr>
        <w:t>.</w:t>
      </w:r>
      <w:r>
        <w:rPr>
          <w:b/>
        </w:rPr>
        <w:t xml:space="preserve"> </w:t>
      </w:r>
      <w:r>
        <w:rPr>
          <w:bCs w:val="0"/>
        </w:rPr>
        <w:t xml:space="preserve">Desempeño Del Modelo Final </w:t>
      </w:r>
      <w:r>
        <w:rPr>
          <w:bCs w:val="0"/>
        </w:rPr>
        <w:br/>
        <w:t>(Lightgbm, Umbral = 0.66) Por Partición Temporal.</w:t>
      </w:r>
    </w:p>
    <w:tbl>
      <w:tblPr>
        <w:tblW w:w="0" w:type="auto"/>
        <w:jc w:val="center"/>
        <w:tblLayout w:type="fixed"/>
        <w:tblLook w:val="0000" w:firstRow="0" w:lastRow="0" w:firstColumn="0" w:lastColumn="0" w:noHBand="0" w:noVBand="0"/>
      </w:tblPr>
      <w:tblGrid>
        <w:gridCol w:w="1132"/>
        <w:gridCol w:w="990"/>
        <w:gridCol w:w="870"/>
        <w:gridCol w:w="1128"/>
      </w:tblGrid>
      <w:tr w:rsidR="00000000" w14:paraId="7DE19ECA" w14:textId="77777777">
        <w:trPr>
          <w:jc w:val="center"/>
        </w:trPr>
        <w:tc>
          <w:tcPr>
            <w:tcW w:w="1132" w:type="dxa"/>
            <w:tcBorders>
              <w:bottom w:val="single" w:sz="4" w:space="0" w:color="000000"/>
            </w:tcBorders>
            <w:vAlign w:val="center"/>
          </w:tcPr>
          <w:p w14:paraId="56DC8BD1" w14:textId="77777777" w:rsidR="00000000" w:rsidRDefault="00000000">
            <w:pPr>
              <w:spacing w:before="36" w:after="36"/>
              <w:ind w:firstLine="0"/>
            </w:pPr>
            <w:r>
              <w:rPr>
                <w:b/>
                <w:bCs/>
                <w:sz w:val="16"/>
              </w:rPr>
              <w:t>Métrica</w:t>
            </w:r>
          </w:p>
        </w:tc>
        <w:tc>
          <w:tcPr>
            <w:tcW w:w="990" w:type="dxa"/>
            <w:tcBorders>
              <w:bottom w:val="single" w:sz="4" w:space="0" w:color="000000"/>
            </w:tcBorders>
            <w:vAlign w:val="center"/>
          </w:tcPr>
          <w:p w14:paraId="65ECA9CA" w14:textId="77777777" w:rsidR="00000000" w:rsidRDefault="00000000">
            <w:pPr>
              <w:spacing w:before="36" w:after="36"/>
              <w:ind w:firstLine="0"/>
            </w:pPr>
            <w:r>
              <w:rPr>
                <w:b/>
                <w:bCs/>
                <w:sz w:val="16"/>
              </w:rPr>
              <w:t>Valid. 2024</w:t>
            </w:r>
          </w:p>
        </w:tc>
        <w:tc>
          <w:tcPr>
            <w:tcW w:w="870" w:type="dxa"/>
            <w:tcBorders>
              <w:bottom w:val="single" w:sz="4" w:space="0" w:color="000000"/>
            </w:tcBorders>
            <w:vAlign w:val="center"/>
          </w:tcPr>
          <w:p w14:paraId="433A948E" w14:textId="77777777" w:rsidR="00000000" w:rsidRDefault="00000000">
            <w:pPr>
              <w:spacing w:before="36" w:after="36"/>
              <w:ind w:firstLine="0"/>
            </w:pPr>
            <w:r>
              <w:rPr>
                <w:b/>
                <w:bCs/>
                <w:sz w:val="16"/>
              </w:rPr>
              <w:t>Test 2025</w:t>
            </w:r>
          </w:p>
        </w:tc>
        <w:tc>
          <w:tcPr>
            <w:tcW w:w="1128" w:type="dxa"/>
            <w:tcBorders>
              <w:bottom w:val="single" w:sz="4" w:space="0" w:color="000000"/>
            </w:tcBorders>
            <w:vAlign w:val="center"/>
          </w:tcPr>
          <w:p w14:paraId="3961F430" w14:textId="77777777" w:rsidR="00000000" w:rsidRDefault="00000000">
            <w:pPr>
              <w:spacing w:before="36" w:after="36"/>
              <w:ind w:firstLine="0"/>
            </w:pPr>
            <w:r>
              <w:rPr>
                <w:b/>
                <w:bCs/>
                <w:sz w:val="16"/>
              </w:rPr>
              <w:t>Externa 2026</w:t>
            </w:r>
          </w:p>
        </w:tc>
      </w:tr>
      <w:tr w:rsidR="00000000" w14:paraId="1BFC7EBA" w14:textId="77777777">
        <w:trPr>
          <w:jc w:val="center"/>
        </w:trPr>
        <w:tc>
          <w:tcPr>
            <w:tcW w:w="1132" w:type="dxa"/>
            <w:vAlign w:val="center"/>
          </w:tcPr>
          <w:p w14:paraId="5395A4EA" w14:textId="77777777" w:rsidR="00000000" w:rsidRDefault="00000000">
            <w:pPr>
              <w:spacing w:before="36" w:after="36"/>
              <w:ind w:firstLine="0"/>
            </w:pPr>
            <w:r>
              <w:rPr>
                <w:b/>
                <w:bCs/>
                <w:sz w:val="16"/>
              </w:rPr>
              <w:t>Exactitud</w:t>
            </w:r>
          </w:p>
        </w:tc>
        <w:tc>
          <w:tcPr>
            <w:tcW w:w="990" w:type="dxa"/>
            <w:vAlign w:val="center"/>
          </w:tcPr>
          <w:p w14:paraId="2EE496D3" w14:textId="77777777" w:rsidR="00000000" w:rsidRDefault="00000000">
            <w:pPr>
              <w:spacing w:before="36" w:after="36"/>
              <w:ind w:firstLine="0"/>
            </w:pPr>
            <w:r>
              <w:rPr>
                <w:sz w:val="16"/>
              </w:rPr>
              <w:t>0.890</w:t>
            </w:r>
          </w:p>
        </w:tc>
        <w:tc>
          <w:tcPr>
            <w:tcW w:w="870" w:type="dxa"/>
            <w:vAlign w:val="center"/>
          </w:tcPr>
          <w:p w14:paraId="127AF31F" w14:textId="77777777" w:rsidR="00000000" w:rsidRDefault="00000000">
            <w:pPr>
              <w:spacing w:before="36" w:after="36"/>
              <w:ind w:firstLine="0"/>
            </w:pPr>
            <w:r>
              <w:rPr>
                <w:sz w:val="16"/>
              </w:rPr>
              <w:t>0.862</w:t>
            </w:r>
          </w:p>
        </w:tc>
        <w:tc>
          <w:tcPr>
            <w:tcW w:w="1128" w:type="dxa"/>
            <w:vAlign w:val="center"/>
          </w:tcPr>
          <w:p w14:paraId="11CDB745" w14:textId="77777777" w:rsidR="00000000" w:rsidRDefault="00000000">
            <w:pPr>
              <w:spacing w:before="36" w:after="36"/>
              <w:ind w:firstLine="0"/>
            </w:pPr>
            <w:r>
              <w:rPr>
                <w:sz w:val="16"/>
              </w:rPr>
              <w:t>0.842</w:t>
            </w:r>
          </w:p>
        </w:tc>
      </w:tr>
      <w:tr w:rsidR="00000000" w14:paraId="0B55E235" w14:textId="77777777">
        <w:trPr>
          <w:jc w:val="center"/>
        </w:trPr>
        <w:tc>
          <w:tcPr>
            <w:tcW w:w="1132" w:type="dxa"/>
            <w:vAlign w:val="center"/>
          </w:tcPr>
          <w:p w14:paraId="409662F0" w14:textId="77777777" w:rsidR="00000000" w:rsidRDefault="00000000">
            <w:pPr>
              <w:spacing w:before="36" w:after="36"/>
              <w:ind w:firstLine="0"/>
            </w:pPr>
            <w:r>
              <w:rPr>
                <w:b/>
                <w:bCs/>
                <w:sz w:val="16"/>
              </w:rPr>
              <w:t>Precisión</w:t>
            </w:r>
          </w:p>
        </w:tc>
        <w:tc>
          <w:tcPr>
            <w:tcW w:w="990" w:type="dxa"/>
            <w:vAlign w:val="center"/>
          </w:tcPr>
          <w:p w14:paraId="645E61F5" w14:textId="77777777" w:rsidR="00000000" w:rsidRDefault="00000000">
            <w:pPr>
              <w:spacing w:before="36" w:after="36"/>
              <w:ind w:firstLine="0"/>
            </w:pPr>
            <w:r>
              <w:rPr>
                <w:sz w:val="16"/>
              </w:rPr>
              <w:t>0.576</w:t>
            </w:r>
          </w:p>
        </w:tc>
        <w:tc>
          <w:tcPr>
            <w:tcW w:w="870" w:type="dxa"/>
            <w:vAlign w:val="center"/>
          </w:tcPr>
          <w:p w14:paraId="13E0ECDE" w14:textId="77777777" w:rsidR="00000000" w:rsidRDefault="00000000">
            <w:pPr>
              <w:spacing w:before="36" w:after="36"/>
              <w:ind w:firstLine="0"/>
            </w:pPr>
            <w:r>
              <w:rPr>
                <w:sz w:val="16"/>
              </w:rPr>
              <w:t>0.525</w:t>
            </w:r>
          </w:p>
        </w:tc>
        <w:tc>
          <w:tcPr>
            <w:tcW w:w="1128" w:type="dxa"/>
            <w:vAlign w:val="center"/>
          </w:tcPr>
          <w:p w14:paraId="36EBB39A" w14:textId="77777777" w:rsidR="00000000" w:rsidRDefault="00000000">
            <w:pPr>
              <w:spacing w:before="36" w:after="36"/>
              <w:ind w:firstLine="0"/>
            </w:pPr>
            <w:r>
              <w:rPr>
                <w:sz w:val="16"/>
              </w:rPr>
              <w:t>0.644</w:t>
            </w:r>
          </w:p>
        </w:tc>
      </w:tr>
      <w:tr w:rsidR="00000000" w14:paraId="3089A80D" w14:textId="77777777">
        <w:trPr>
          <w:jc w:val="center"/>
        </w:trPr>
        <w:tc>
          <w:tcPr>
            <w:tcW w:w="1132" w:type="dxa"/>
            <w:vAlign w:val="center"/>
          </w:tcPr>
          <w:p w14:paraId="78D3B4C3" w14:textId="77777777" w:rsidR="00000000" w:rsidRDefault="00000000">
            <w:pPr>
              <w:spacing w:before="36" w:after="36"/>
              <w:ind w:firstLine="0"/>
            </w:pPr>
            <w:r>
              <w:rPr>
                <w:b/>
                <w:bCs/>
                <w:sz w:val="16"/>
              </w:rPr>
              <w:t>Recall</w:t>
            </w:r>
          </w:p>
        </w:tc>
        <w:tc>
          <w:tcPr>
            <w:tcW w:w="990" w:type="dxa"/>
            <w:vAlign w:val="center"/>
          </w:tcPr>
          <w:p w14:paraId="6CCA8ECE" w14:textId="77777777" w:rsidR="00000000" w:rsidRDefault="00000000">
            <w:pPr>
              <w:spacing w:before="36" w:after="36"/>
              <w:ind w:firstLine="0"/>
            </w:pPr>
            <w:r>
              <w:rPr>
                <w:sz w:val="16"/>
              </w:rPr>
              <w:t>0.667</w:t>
            </w:r>
          </w:p>
        </w:tc>
        <w:tc>
          <w:tcPr>
            <w:tcW w:w="870" w:type="dxa"/>
            <w:vAlign w:val="center"/>
          </w:tcPr>
          <w:p w14:paraId="31D55951" w14:textId="77777777" w:rsidR="00000000" w:rsidRDefault="00000000">
            <w:pPr>
              <w:spacing w:before="36" w:after="36"/>
              <w:ind w:firstLine="0"/>
            </w:pPr>
            <w:r>
              <w:rPr>
                <w:sz w:val="16"/>
              </w:rPr>
              <w:t>0.424</w:t>
            </w:r>
          </w:p>
        </w:tc>
        <w:tc>
          <w:tcPr>
            <w:tcW w:w="1128" w:type="dxa"/>
            <w:vAlign w:val="center"/>
          </w:tcPr>
          <w:p w14:paraId="60D0423A" w14:textId="77777777" w:rsidR="00000000" w:rsidRDefault="00000000">
            <w:pPr>
              <w:spacing w:before="36" w:after="36"/>
              <w:ind w:firstLine="0"/>
            </w:pPr>
            <w:r>
              <w:rPr>
                <w:sz w:val="16"/>
              </w:rPr>
              <w:t>0.493</w:t>
            </w:r>
          </w:p>
        </w:tc>
      </w:tr>
      <w:tr w:rsidR="00000000" w14:paraId="6CFDAFD4" w14:textId="77777777">
        <w:trPr>
          <w:jc w:val="center"/>
        </w:trPr>
        <w:tc>
          <w:tcPr>
            <w:tcW w:w="1132" w:type="dxa"/>
            <w:vAlign w:val="center"/>
          </w:tcPr>
          <w:p w14:paraId="2C00D3AA" w14:textId="77777777" w:rsidR="00000000" w:rsidRDefault="00000000">
            <w:pPr>
              <w:spacing w:before="36" w:after="36"/>
              <w:ind w:firstLine="0"/>
            </w:pPr>
            <w:r>
              <w:rPr>
                <w:b/>
                <w:bCs/>
                <w:sz w:val="16"/>
              </w:rPr>
              <w:t>F1</w:t>
            </w:r>
          </w:p>
        </w:tc>
        <w:tc>
          <w:tcPr>
            <w:tcW w:w="990" w:type="dxa"/>
            <w:vAlign w:val="center"/>
          </w:tcPr>
          <w:p w14:paraId="36C4EB8A" w14:textId="77777777" w:rsidR="00000000" w:rsidRDefault="00000000">
            <w:pPr>
              <w:spacing w:before="36" w:after="36"/>
              <w:ind w:firstLine="0"/>
            </w:pPr>
            <w:r>
              <w:rPr>
                <w:sz w:val="16"/>
              </w:rPr>
              <w:t>0.618</w:t>
            </w:r>
          </w:p>
        </w:tc>
        <w:tc>
          <w:tcPr>
            <w:tcW w:w="870" w:type="dxa"/>
            <w:vAlign w:val="center"/>
          </w:tcPr>
          <w:p w14:paraId="3B8CCB40" w14:textId="77777777" w:rsidR="00000000" w:rsidRDefault="00000000">
            <w:pPr>
              <w:spacing w:before="36" w:after="36"/>
              <w:ind w:firstLine="0"/>
            </w:pPr>
            <w:r>
              <w:rPr>
                <w:sz w:val="16"/>
              </w:rPr>
              <w:t>0.469</w:t>
            </w:r>
          </w:p>
        </w:tc>
        <w:tc>
          <w:tcPr>
            <w:tcW w:w="1128" w:type="dxa"/>
            <w:vAlign w:val="center"/>
          </w:tcPr>
          <w:p w14:paraId="235E1FFB" w14:textId="77777777" w:rsidR="00000000" w:rsidRDefault="00000000">
            <w:pPr>
              <w:spacing w:before="36" w:after="36"/>
              <w:ind w:firstLine="0"/>
            </w:pPr>
            <w:r>
              <w:rPr>
                <w:sz w:val="16"/>
              </w:rPr>
              <w:t>0.559</w:t>
            </w:r>
          </w:p>
        </w:tc>
      </w:tr>
      <w:tr w:rsidR="00000000" w14:paraId="1F36A9B1" w14:textId="77777777">
        <w:trPr>
          <w:jc w:val="center"/>
        </w:trPr>
        <w:tc>
          <w:tcPr>
            <w:tcW w:w="1132" w:type="dxa"/>
            <w:vAlign w:val="center"/>
          </w:tcPr>
          <w:p w14:paraId="5B4F5B70" w14:textId="77777777" w:rsidR="00000000" w:rsidRDefault="00000000">
            <w:pPr>
              <w:spacing w:before="36" w:after="36"/>
              <w:ind w:firstLine="0"/>
            </w:pPr>
            <w:r>
              <w:rPr>
                <w:b/>
                <w:bCs/>
                <w:sz w:val="16"/>
              </w:rPr>
              <w:t>ROC-AUC</w:t>
            </w:r>
          </w:p>
        </w:tc>
        <w:tc>
          <w:tcPr>
            <w:tcW w:w="990" w:type="dxa"/>
            <w:vAlign w:val="center"/>
          </w:tcPr>
          <w:p w14:paraId="0E73C89C" w14:textId="77777777" w:rsidR="00000000" w:rsidRDefault="00000000">
            <w:pPr>
              <w:spacing w:before="36" w:after="36"/>
              <w:ind w:firstLine="0"/>
            </w:pPr>
            <w:r>
              <w:rPr>
                <w:sz w:val="16"/>
              </w:rPr>
              <w:t>0.897</w:t>
            </w:r>
          </w:p>
        </w:tc>
        <w:tc>
          <w:tcPr>
            <w:tcW w:w="870" w:type="dxa"/>
            <w:vAlign w:val="center"/>
          </w:tcPr>
          <w:p w14:paraId="0AE3B1E3" w14:textId="77777777" w:rsidR="00000000" w:rsidRDefault="00000000">
            <w:pPr>
              <w:spacing w:before="36" w:after="36"/>
              <w:ind w:firstLine="0"/>
            </w:pPr>
            <w:r>
              <w:rPr>
                <w:sz w:val="16"/>
              </w:rPr>
              <w:t>0.798</w:t>
            </w:r>
          </w:p>
        </w:tc>
        <w:tc>
          <w:tcPr>
            <w:tcW w:w="1128" w:type="dxa"/>
            <w:vAlign w:val="center"/>
          </w:tcPr>
          <w:p w14:paraId="5C2C0131" w14:textId="77777777" w:rsidR="00000000" w:rsidRDefault="00000000">
            <w:pPr>
              <w:spacing w:before="36" w:after="36"/>
              <w:ind w:firstLine="0"/>
            </w:pPr>
            <w:r>
              <w:rPr>
                <w:sz w:val="16"/>
              </w:rPr>
              <w:t>0.866</w:t>
            </w:r>
          </w:p>
        </w:tc>
      </w:tr>
      <w:tr w:rsidR="00000000" w14:paraId="034ACC10" w14:textId="77777777">
        <w:trPr>
          <w:jc w:val="center"/>
        </w:trPr>
        <w:tc>
          <w:tcPr>
            <w:tcW w:w="1132" w:type="dxa"/>
            <w:vAlign w:val="center"/>
          </w:tcPr>
          <w:p w14:paraId="0F18AC91" w14:textId="77777777" w:rsidR="00000000" w:rsidRDefault="00000000">
            <w:pPr>
              <w:spacing w:before="36" w:after="36"/>
              <w:ind w:firstLine="0"/>
            </w:pPr>
            <w:r>
              <w:rPr>
                <w:b/>
                <w:bCs/>
                <w:sz w:val="16"/>
              </w:rPr>
              <w:t>PR-AUC</w:t>
            </w:r>
          </w:p>
        </w:tc>
        <w:tc>
          <w:tcPr>
            <w:tcW w:w="990" w:type="dxa"/>
            <w:vAlign w:val="center"/>
          </w:tcPr>
          <w:p w14:paraId="40A0F22B" w14:textId="77777777" w:rsidR="00000000" w:rsidRDefault="00000000">
            <w:pPr>
              <w:spacing w:before="36" w:after="36"/>
              <w:ind w:firstLine="0"/>
            </w:pPr>
            <w:r>
              <w:rPr>
                <w:sz w:val="16"/>
              </w:rPr>
              <w:t>0.625</w:t>
            </w:r>
          </w:p>
        </w:tc>
        <w:tc>
          <w:tcPr>
            <w:tcW w:w="870" w:type="dxa"/>
            <w:vAlign w:val="center"/>
          </w:tcPr>
          <w:p w14:paraId="79773E00" w14:textId="77777777" w:rsidR="00000000" w:rsidRDefault="00000000">
            <w:pPr>
              <w:spacing w:before="36" w:after="36"/>
              <w:ind w:firstLine="0"/>
            </w:pPr>
            <w:r>
              <w:rPr>
                <w:sz w:val="16"/>
              </w:rPr>
              <w:t>0.499</w:t>
            </w:r>
          </w:p>
        </w:tc>
        <w:tc>
          <w:tcPr>
            <w:tcW w:w="1128" w:type="dxa"/>
            <w:vAlign w:val="center"/>
          </w:tcPr>
          <w:p w14:paraId="6E9272CB" w14:textId="77777777" w:rsidR="00000000" w:rsidRDefault="00000000">
            <w:pPr>
              <w:spacing w:before="36" w:after="36"/>
              <w:ind w:firstLine="0"/>
            </w:pPr>
            <w:r>
              <w:rPr>
                <w:sz w:val="16"/>
              </w:rPr>
              <w:t>0.652</w:t>
            </w:r>
          </w:p>
        </w:tc>
      </w:tr>
      <w:tr w:rsidR="00000000" w14:paraId="6D43CF1F" w14:textId="77777777">
        <w:trPr>
          <w:jc w:val="center"/>
        </w:trPr>
        <w:tc>
          <w:tcPr>
            <w:tcW w:w="1132" w:type="dxa"/>
            <w:vAlign w:val="center"/>
          </w:tcPr>
          <w:p w14:paraId="67832E18" w14:textId="77777777" w:rsidR="00000000" w:rsidRDefault="00000000">
            <w:pPr>
              <w:spacing w:before="36" w:after="36"/>
              <w:ind w:firstLine="0"/>
            </w:pPr>
            <w:r>
              <w:rPr>
                <w:b/>
                <w:bCs/>
                <w:sz w:val="16"/>
              </w:rPr>
              <w:t>MCC</w:t>
            </w:r>
          </w:p>
        </w:tc>
        <w:tc>
          <w:tcPr>
            <w:tcW w:w="990" w:type="dxa"/>
            <w:vAlign w:val="center"/>
          </w:tcPr>
          <w:p w14:paraId="2E8C35F9" w14:textId="77777777" w:rsidR="00000000" w:rsidRDefault="00000000">
            <w:pPr>
              <w:spacing w:before="36" w:after="36"/>
              <w:ind w:firstLine="0"/>
            </w:pPr>
            <w:r>
              <w:rPr>
                <w:sz w:val="16"/>
              </w:rPr>
              <w:t>0.556</w:t>
            </w:r>
          </w:p>
        </w:tc>
        <w:tc>
          <w:tcPr>
            <w:tcW w:w="870" w:type="dxa"/>
            <w:vAlign w:val="center"/>
          </w:tcPr>
          <w:p w14:paraId="53FF6779" w14:textId="77777777" w:rsidR="00000000" w:rsidRDefault="00000000">
            <w:pPr>
              <w:spacing w:before="36" w:after="36"/>
              <w:ind w:firstLine="0"/>
            </w:pPr>
            <w:r>
              <w:rPr>
                <w:sz w:val="16"/>
              </w:rPr>
              <w:t>0.394</w:t>
            </w:r>
          </w:p>
        </w:tc>
        <w:tc>
          <w:tcPr>
            <w:tcW w:w="1128" w:type="dxa"/>
            <w:vAlign w:val="center"/>
          </w:tcPr>
          <w:p w14:paraId="08317AE1" w14:textId="77777777" w:rsidR="00000000" w:rsidRDefault="00000000">
            <w:pPr>
              <w:spacing w:before="36" w:after="36"/>
              <w:ind w:firstLine="0"/>
            </w:pPr>
            <w:r>
              <w:rPr>
                <w:sz w:val="16"/>
              </w:rPr>
              <w:t>0.471</w:t>
            </w:r>
          </w:p>
        </w:tc>
      </w:tr>
      <w:tr w:rsidR="00000000" w14:paraId="712D4BC3" w14:textId="77777777">
        <w:trPr>
          <w:jc w:val="center"/>
        </w:trPr>
        <w:tc>
          <w:tcPr>
            <w:tcW w:w="1132" w:type="dxa"/>
            <w:vAlign w:val="center"/>
          </w:tcPr>
          <w:p w14:paraId="5D6DB9BE" w14:textId="77777777" w:rsidR="00000000" w:rsidRDefault="00000000">
            <w:pPr>
              <w:spacing w:before="36" w:after="36"/>
              <w:ind w:firstLine="0"/>
            </w:pPr>
            <w:r>
              <w:rPr>
                <w:b/>
                <w:bCs/>
                <w:sz w:val="16"/>
              </w:rPr>
              <w:t>Especificidad</w:t>
            </w:r>
          </w:p>
        </w:tc>
        <w:tc>
          <w:tcPr>
            <w:tcW w:w="990" w:type="dxa"/>
            <w:vAlign w:val="center"/>
          </w:tcPr>
          <w:p w14:paraId="557B9400" w14:textId="77777777" w:rsidR="00000000" w:rsidRDefault="00000000">
            <w:pPr>
              <w:spacing w:before="36" w:after="36"/>
              <w:ind w:firstLine="0"/>
            </w:pPr>
            <w:r>
              <w:rPr>
                <w:sz w:val="16"/>
              </w:rPr>
              <w:t>0.925</w:t>
            </w:r>
          </w:p>
        </w:tc>
        <w:tc>
          <w:tcPr>
            <w:tcW w:w="870" w:type="dxa"/>
            <w:vAlign w:val="center"/>
          </w:tcPr>
          <w:p w14:paraId="00E9A603" w14:textId="77777777" w:rsidR="00000000" w:rsidRDefault="00000000">
            <w:pPr>
              <w:spacing w:before="36" w:after="36"/>
              <w:ind w:firstLine="0"/>
            </w:pPr>
            <w:r>
              <w:rPr>
                <w:sz w:val="16"/>
              </w:rPr>
              <w:t>0.936</w:t>
            </w:r>
          </w:p>
        </w:tc>
        <w:tc>
          <w:tcPr>
            <w:tcW w:w="1128" w:type="dxa"/>
            <w:vAlign w:val="center"/>
          </w:tcPr>
          <w:p w14:paraId="1E9264AF" w14:textId="77777777" w:rsidR="00000000" w:rsidRDefault="00000000">
            <w:pPr>
              <w:spacing w:before="36" w:after="36"/>
              <w:ind w:firstLine="0"/>
            </w:pPr>
            <w:r>
              <w:rPr>
                <w:sz w:val="16"/>
              </w:rPr>
              <w:t>0.931</w:t>
            </w:r>
          </w:p>
        </w:tc>
      </w:tr>
    </w:tbl>
    <w:p w14:paraId="71C07A66" w14:textId="77777777" w:rsidR="00000000" w:rsidRDefault="00000000"/>
    <w:p w14:paraId="00249BB6" w14:textId="77777777" w:rsidR="00000000" w:rsidRDefault="00000000">
      <w:pPr>
        <w:pStyle w:val="Ttulo1"/>
        <w:ind w:firstLine="357"/>
      </w:pPr>
      <w:r>
        <w:t>IV. Resultados</w:t>
      </w:r>
    </w:p>
    <w:p w14:paraId="177643F3" w14:textId="77777777" w:rsidR="00000000" w:rsidRDefault="00000000">
      <w:pPr>
        <w:pStyle w:val="Ttulo2"/>
        <w:numPr>
          <w:ilvl w:val="1"/>
          <w:numId w:val="2"/>
        </w:numPr>
      </w:pPr>
      <w:r>
        <w:t>A.</w:t>
      </w:r>
      <w:r>
        <w:tab/>
        <w:t>Comparación de modelos base y ensambles</w:t>
      </w:r>
    </w:p>
    <w:p w14:paraId="2F1988E9" w14:textId="77777777" w:rsidR="00000000" w:rsidRDefault="00000000">
      <w:pPr>
        <w:rPr>
          <w:b/>
        </w:rPr>
      </w:pPr>
      <w:r>
        <w:t xml:space="preserve">La Tabla X resume el desempeño de los seis modelos base y los dos ensambles (VotingClassifier, </w:t>
      </w:r>
      <w:r>
        <w:rPr>
          <w:i/>
          <w:iCs/>
        </w:rPr>
        <w:t>stacking</w:t>
      </w:r>
      <w:r>
        <w:t xml:space="preserve"> temporal) sobre validación 2024 y prueba 2025, con umbral fijo de 0.5. </w:t>
      </w:r>
    </w:p>
    <w:p w14:paraId="01A62D5E"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X</w:t>
      </w:r>
      <w:r>
        <w:rPr>
          <w:b/>
          <w:bCs w:val="0"/>
        </w:rPr>
        <w:fldChar w:fldCharType="end"/>
      </w:r>
      <w:r>
        <w:rPr>
          <w:b/>
        </w:rPr>
        <w:t xml:space="preserve">. </w:t>
      </w:r>
      <w:r>
        <w:rPr>
          <w:bCs w:val="0"/>
        </w:rPr>
        <w:t>Comparación de modelos (umbral = 0.5).</w:t>
      </w:r>
    </w:p>
    <w:tbl>
      <w:tblPr>
        <w:tblW w:w="0" w:type="auto"/>
        <w:jc w:val="center"/>
        <w:tblLayout w:type="fixed"/>
        <w:tblLook w:val="0000" w:firstRow="0" w:lastRow="0" w:firstColumn="0" w:lastColumn="0" w:noHBand="0" w:noVBand="0"/>
      </w:tblPr>
      <w:tblGrid>
        <w:gridCol w:w="1527"/>
        <w:gridCol w:w="812"/>
        <w:gridCol w:w="674"/>
        <w:gridCol w:w="1252"/>
      </w:tblGrid>
      <w:tr w:rsidR="00000000" w14:paraId="619B04CE" w14:textId="77777777">
        <w:trPr>
          <w:tblHeader/>
          <w:jc w:val="center"/>
        </w:trPr>
        <w:tc>
          <w:tcPr>
            <w:tcW w:w="1527" w:type="dxa"/>
            <w:tcBorders>
              <w:bottom w:val="single" w:sz="4" w:space="0" w:color="000000"/>
            </w:tcBorders>
            <w:vAlign w:val="center"/>
          </w:tcPr>
          <w:p w14:paraId="5F272937" w14:textId="77777777" w:rsidR="00000000" w:rsidRDefault="00000000">
            <w:pPr>
              <w:spacing w:before="36" w:after="36"/>
              <w:ind w:firstLine="0"/>
            </w:pPr>
            <w:r>
              <w:rPr>
                <w:b/>
                <w:bCs/>
                <w:sz w:val="16"/>
              </w:rPr>
              <w:t>Modelo</w:t>
            </w:r>
          </w:p>
        </w:tc>
        <w:tc>
          <w:tcPr>
            <w:tcW w:w="812" w:type="dxa"/>
            <w:tcBorders>
              <w:bottom w:val="single" w:sz="4" w:space="0" w:color="000000"/>
            </w:tcBorders>
            <w:vAlign w:val="center"/>
          </w:tcPr>
          <w:p w14:paraId="7C651A6A" w14:textId="77777777" w:rsidR="00000000" w:rsidRDefault="00000000">
            <w:pPr>
              <w:spacing w:before="36" w:after="36"/>
              <w:ind w:firstLine="0"/>
              <w:jc w:val="center"/>
            </w:pPr>
            <w:r>
              <w:rPr>
                <w:b/>
                <w:bCs/>
                <w:sz w:val="16"/>
              </w:rPr>
              <w:t>F1 valid.</w:t>
            </w:r>
          </w:p>
        </w:tc>
        <w:tc>
          <w:tcPr>
            <w:tcW w:w="674" w:type="dxa"/>
            <w:tcBorders>
              <w:bottom w:val="single" w:sz="4" w:space="0" w:color="000000"/>
            </w:tcBorders>
            <w:vAlign w:val="center"/>
          </w:tcPr>
          <w:p w14:paraId="4DB34E57" w14:textId="77777777" w:rsidR="00000000" w:rsidRDefault="00000000">
            <w:pPr>
              <w:spacing w:before="36" w:after="36"/>
              <w:ind w:firstLine="0"/>
              <w:jc w:val="center"/>
            </w:pPr>
            <w:r>
              <w:rPr>
                <w:b/>
                <w:bCs/>
                <w:sz w:val="16"/>
              </w:rPr>
              <w:t>F1 test</w:t>
            </w:r>
          </w:p>
        </w:tc>
        <w:tc>
          <w:tcPr>
            <w:tcW w:w="1252" w:type="dxa"/>
            <w:tcBorders>
              <w:bottom w:val="single" w:sz="4" w:space="0" w:color="000000"/>
            </w:tcBorders>
            <w:vAlign w:val="center"/>
          </w:tcPr>
          <w:p w14:paraId="72D146EE" w14:textId="77777777" w:rsidR="00000000" w:rsidRDefault="00000000">
            <w:pPr>
              <w:spacing w:before="36" w:after="36"/>
              <w:ind w:firstLine="0"/>
              <w:jc w:val="center"/>
            </w:pPr>
            <w:r>
              <w:rPr>
                <w:b/>
                <w:bCs/>
                <w:sz w:val="16"/>
              </w:rPr>
              <w:t>ROC-AUC test</w:t>
            </w:r>
          </w:p>
        </w:tc>
      </w:tr>
      <w:tr w:rsidR="00000000" w14:paraId="29010EEC" w14:textId="77777777">
        <w:trPr>
          <w:jc w:val="center"/>
        </w:trPr>
        <w:tc>
          <w:tcPr>
            <w:tcW w:w="1527" w:type="dxa"/>
            <w:vAlign w:val="center"/>
          </w:tcPr>
          <w:p w14:paraId="131445DB" w14:textId="77777777" w:rsidR="00000000" w:rsidRDefault="00000000">
            <w:pPr>
              <w:spacing w:before="36" w:after="36"/>
              <w:ind w:firstLine="0"/>
            </w:pPr>
            <w:r>
              <w:rPr>
                <w:sz w:val="16"/>
              </w:rPr>
              <w:t>LightGBM (RandomizedSearchCV)</w:t>
            </w:r>
          </w:p>
        </w:tc>
        <w:tc>
          <w:tcPr>
            <w:tcW w:w="812" w:type="dxa"/>
            <w:vAlign w:val="center"/>
          </w:tcPr>
          <w:p w14:paraId="0BC88F12" w14:textId="77777777" w:rsidR="00000000" w:rsidRDefault="00000000">
            <w:pPr>
              <w:spacing w:before="36" w:after="36"/>
              <w:ind w:firstLine="0"/>
              <w:jc w:val="center"/>
            </w:pPr>
            <w:r>
              <w:rPr>
                <w:sz w:val="16"/>
              </w:rPr>
              <w:t>0.605</w:t>
            </w:r>
          </w:p>
        </w:tc>
        <w:tc>
          <w:tcPr>
            <w:tcW w:w="674" w:type="dxa"/>
            <w:vAlign w:val="center"/>
          </w:tcPr>
          <w:p w14:paraId="282554F8" w14:textId="77777777" w:rsidR="00000000" w:rsidRDefault="00000000">
            <w:pPr>
              <w:spacing w:before="36" w:after="36"/>
              <w:ind w:firstLine="0"/>
              <w:jc w:val="center"/>
            </w:pPr>
            <w:r>
              <w:rPr>
                <w:sz w:val="16"/>
              </w:rPr>
              <w:t>0.475</w:t>
            </w:r>
          </w:p>
        </w:tc>
        <w:tc>
          <w:tcPr>
            <w:tcW w:w="1252" w:type="dxa"/>
            <w:vAlign w:val="center"/>
          </w:tcPr>
          <w:p w14:paraId="3B39871C" w14:textId="77777777" w:rsidR="00000000" w:rsidRDefault="00000000">
            <w:pPr>
              <w:spacing w:before="36" w:after="36"/>
              <w:ind w:firstLine="0"/>
              <w:jc w:val="center"/>
            </w:pPr>
            <w:r>
              <w:rPr>
                <w:sz w:val="16"/>
              </w:rPr>
              <w:t>0.798</w:t>
            </w:r>
          </w:p>
        </w:tc>
      </w:tr>
      <w:tr w:rsidR="00000000" w14:paraId="7C2A3CE2" w14:textId="77777777">
        <w:trPr>
          <w:jc w:val="center"/>
        </w:trPr>
        <w:tc>
          <w:tcPr>
            <w:tcW w:w="1527" w:type="dxa"/>
            <w:vAlign w:val="center"/>
          </w:tcPr>
          <w:p w14:paraId="28A62DBB" w14:textId="77777777" w:rsidR="00000000" w:rsidRDefault="00000000">
            <w:pPr>
              <w:spacing w:before="36" w:after="36"/>
              <w:ind w:firstLine="0"/>
            </w:pPr>
            <w:r>
              <w:rPr>
                <w:sz w:val="16"/>
              </w:rPr>
              <w:t>CatBoost</w:t>
            </w:r>
          </w:p>
        </w:tc>
        <w:tc>
          <w:tcPr>
            <w:tcW w:w="812" w:type="dxa"/>
            <w:vAlign w:val="center"/>
          </w:tcPr>
          <w:p w14:paraId="0A35290B" w14:textId="77777777" w:rsidR="00000000" w:rsidRDefault="00000000">
            <w:pPr>
              <w:spacing w:before="36" w:after="36"/>
              <w:ind w:firstLine="0"/>
              <w:jc w:val="center"/>
            </w:pPr>
            <w:r>
              <w:rPr>
                <w:sz w:val="16"/>
              </w:rPr>
              <w:t>0.591</w:t>
            </w:r>
          </w:p>
        </w:tc>
        <w:tc>
          <w:tcPr>
            <w:tcW w:w="674" w:type="dxa"/>
            <w:vAlign w:val="center"/>
          </w:tcPr>
          <w:p w14:paraId="347430C3" w14:textId="77777777" w:rsidR="00000000" w:rsidRDefault="00000000">
            <w:pPr>
              <w:spacing w:before="36" w:after="36"/>
              <w:ind w:firstLine="0"/>
              <w:jc w:val="center"/>
            </w:pPr>
            <w:r>
              <w:rPr>
                <w:sz w:val="16"/>
              </w:rPr>
              <w:t>0.485</w:t>
            </w:r>
          </w:p>
        </w:tc>
        <w:tc>
          <w:tcPr>
            <w:tcW w:w="1252" w:type="dxa"/>
            <w:vAlign w:val="center"/>
          </w:tcPr>
          <w:p w14:paraId="687F714B" w14:textId="77777777" w:rsidR="00000000" w:rsidRDefault="00000000">
            <w:pPr>
              <w:spacing w:before="36" w:after="36"/>
              <w:ind w:firstLine="0"/>
              <w:jc w:val="center"/>
            </w:pPr>
            <w:r>
              <w:rPr>
                <w:sz w:val="16"/>
              </w:rPr>
              <w:t>0.817</w:t>
            </w:r>
          </w:p>
        </w:tc>
      </w:tr>
      <w:tr w:rsidR="00000000" w14:paraId="6D9EC17F" w14:textId="77777777">
        <w:trPr>
          <w:jc w:val="center"/>
        </w:trPr>
        <w:tc>
          <w:tcPr>
            <w:tcW w:w="1527" w:type="dxa"/>
            <w:vAlign w:val="center"/>
          </w:tcPr>
          <w:p w14:paraId="7B6EA6DB" w14:textId="77777777" w:rsidR="00000000" w:rsidRDefault="00000000">
            <w:pPr>
              <w:spacing w:before="36" w:after="36"/>
              <w:ind w:firstLine="0"/>
            </w:pPr>
            <w:r>
              <w:rPr>
                <w:sz w:val="16"/>
              </w:rPr>
              <w:t>XGBoost</w:t>
            </w:r>
          </w:p>
        </w:tc>
        <w:tc>
          <w:tcPr>
            <w:tcW w:w="812" w:type="dxa"/>
            <w:vAlign w:val="center"/>
          </w:tcPr>
          <w:p w14:paraId="5F040A08" w14:textId="77777777" w:rsidR="00000000" w:rsidRDefault="00000000">
            <w:pPr>
              <w:spacing w:before="36" w:after="36"/>
              <w:ind w:firstLine="0"/>
              <w:jc w:val="center"/>
            </w:pPr>
            <w:r>
              <w:rPr>
                <w:sz w:val="16"/>
              </w:rPr>
              <w:t>0.598</w:t>
            </w:r>
          </w:p>
        </w:tc>
        <w:tc>
          <w:tcPr>
            <w:tcW w:w="674" w:type="dxa"/>
            <w:vAlign w:val="center"/>
          </w:tcPr>
          <w:p w14:paraId="3901B318" w14:textId="77777777" w:rsidR="00000000" w:rsidRDefault="00000000">
            <w:pPr>
              <w:spacing w:before="36" w:after="36"/>
              <w:ind w:firstLine="0"/>
              <w:jc w:val="center"/>
            </w:pPr>
            <w:r>
              <w:rPr>
                <w:sz w:val="16"/>
              </w:rPr>
              <w:t>0.465</w:t>
            </w:r>
          </w:p>
        </w:tc>
        <w:tc>
          <w:tcPr>
            <w:tcW w:w="1252" w:type="dxa"/>
            <w:vAlign w:val="center"/>
          </w:tcPr>
          <w:p w14:paraId="11405F90" w14:textId="77777777" w:rsidR="00000000" w:rsidRDefault="00000000">
            <w:pPr>
              <w:spacing w:before="36" w:after="36"/>
              <w:ind w:firstLine="0"/>
              <w:jc w:val="center"/>
            </w:pPr>
            <w:r>
              <w:rPr>
                <w:sz w:val="16"/>
              </w:rPr>
              <w:t>0.772</w:t>
            </w:r>
          </w:p>
        </w:tc>
      </w:tr>
      <w:tr w:rsidR="00000000" w14:paraId="78EF8BC7" w14:textId="77777777">
        <w:trPr>
          <w:jc w:val="center"/>
        </w:trPr>
        <w:tc>
          <w:tcPr>
            <w:tcW w:w="1527" w:type="dxa"/>
            <w:vAlign w:val="center"/>
          </w:tcPr>
          <w:p w14:paraId="7E720916" w14:textId="77777777" w:rsidR="00000000" w:rsidRDefault="00000000">
            <w:pPr>
              <w:spacing w:before="36" w:after="36"/>
              <w:ind w:firstLine="0"/>
            </w:pPr>
            <w:r>
              <w:rPr>
                <w:sz w:val="16"/>
              </w:rPr>
              <w:t>Reg. logística</w:t>
            </w:r>
          </w:p>
        </w:tc>
        <w:tc>
          <w:tcPr>
            <w:tcW w:w="812" w:type="dxa"/>
            <w:vAlign w:val="center"/>
          </w:tcPr>
          <w:p w14:paraId="77D39D2E" w14:textId="77777777" w:rsidR="00000000" w:rsidRDefault="00000000">
            <w:pPr>
              <w:spacing w:before="36" w:after="36"/>
              <w:ind w:firstLine="0"/>
              <w:jc w:val="center"/>
            </w:pPr>
            <w:r>
              <w:rPr>
                <w:sz w:val="16"/>
              </w:rPr>
              <w:t>0.437</w:t>
            </w:r>
          </w:p>
        </w:tc>
        <w:tc>
          <w:tcPr>
            <w:tcW w:w="674" w:type="dxa"/>
            <w:vAlign w:val="center"/>
          </w:tcPr>
          <w:p w14:paraId="0C41E839" w14:textId="77777777" w:rsidR="00000000" w:rsidRDefault="00000000">
            <w:pPr>
              <w:spacing w:before="36" w:after="36"/>
              <w:ind w:firstLine="0"/>
              <w:jc w:val="center"/>
            </w:pPr>
            <w:r>
              <w:rPr>
                <w:sz w:val="16"/>
              </w:rPr>
              <w:t>0.444</w:t>
            </w:r>
          </w:p>
        </w:tc>
        <w:tc>
          <w:tcPr>
            <w:tcW w:w="1252" w:type="dxa"/>
            <w:vAlign w:val="center"/>
          </w:tcPr>
          <w:p w14:paraId="57768595" w14:textId="77777777" w:rsidR="00000000" w:rsidRDefault="00000000">
            <w:pPr>
              <w:spacing w:before="36" w:after="36"/>
              <w:ind w:firstLine="0"/>
              <w:jc w:val="center"/>
            </w:pPr>
            <w:r>
              <w:rPr>
                <w:sz w:val="16"/>
              </w:rPr>
              <w:t>0.799</w:t>
            </w:r>
          </w:p>
        </w:tc>
      </w:tr>
      <w:tr w:rsidR="00000000" w14:paraId="587DA1CD" w14:textId="77777777">
        <w:trPr>
          <w:jc w:val="center"/>
        </w:trPr>
        <w:tc>
          <w:tcPr>
            <w:tcW w:w="1527" w:type="dxa"/>
            <w:vAlign w:val="center"/>
          </w:tcPr>
          <w:p w14:paraId="18D24BA7" w14:textId="77777777" w:rsidR="00000000" w:rsidRDefault="00000000">
            <w:pPr>
              <w:spacing w:before="36" w:after="36"/>
              <w:ind w:firstLine="0"/>
            </w:pPr>
            <w:r>
              <w:rPr>
                <w:sz w:val="16"/>
              </w:rPr>
              <w:t>SVM (LinearSVC+Platt)</w:t>
            </w:r>
          </w:p>
        </w:tc>
        <w:tc>
          <w:tcPr>
            <w:tcW w:w="812" w:type="dxa"/>
            <w:vAlign w:val="center"/>
          </w:tcPr>
          <w:p w14:paraId="56AD10F8" w14:textId="77777777" w:rsidR="00000000" w:rsidRDefault="00000000">
            <w:pPr>
              <w:spacing w:before="36" w:after="36"/>
              <w:ind w:firstLine="0"/>
              <w:jc w:val="center"/>
            </w:pPr>
            <w:r>
              <w:rPr>
                <w:sz w:val="16"/>
              </w:rPr>
              <w:t>0.263</w:t>
            </w:r>
          </w:p>
        </w:tc>
        <w:tc>
          <w:tcPr>
            <w:tcW w:w="674" w:type="dxa"/>
            <w:vAlign w:val="center"/>
          </w:tcPr>
          <w:p w14:paraId="4870E8FD" w14:textId="77777777" w:rsidR="00000000" w:rsidRDefault="00000000">
            <w:pPr>
              <w:spacing w:before="36" w:after="36"/>
              <w:ind w:firstLine="0"/>
              <w:jc w:val="center"/>
            </w:pPr>
            <w:r>
              <w:rPr>
                <w:sz w:val="16"/>
              </w:rPr>
              <w:t>0.247</w:t>
            </w:r>
          </w:p>
        </w:tc>
        <w:tc>
          <w:tcPr>
            <w:tcW w:w="1252" w:type="dxa"/>
            <w:vAlign w:val="center"/>
          </w:tcPr>
          <w:p w14:paraId="2EA70528" w14:textId="77777777" w:rsidR="00000000" w:rsidRDefault="00000000">
            <w:pPr>
              <w:spacing w:before="36" w:after="36"/>
              <w:ind w:firstLine="0"/>
              <w:jc w:val="center"/>
            </w:pPr>
            <w:r>
              <w:rPr>
                <w:sz w:val="16"/>
              </w:rPr>
              <w:t>0.803</w:t>
            </w:r>
          </w:p>
        </w:tc>
      </w:tr>
      <w:tr w:rsidR="00000000" w14:paraId="3F4D208E" w14:textId="77777777">
        <w:trPr>
          <w:jc w:val="center"/>
        </w:trPr>
        <w:tc>
          <w:tcPr>
            <w:tcW w:w="1527" w:type="dxa"/>
            <w:vAlign w:val="center"/>
          </w:tcPr>
          <w:p w14:paraId="66B5203E" w14:textId="77777777" w:rsidR="00000000" w:rsidRDefault="00000000">
            <w:pPr>
              <w:spacing w:before="36" w:after="36"/>
              <w:ind w:firstLine="0"/>
            </w:pPr>
            <w:r>
              <w:rPr>
                <w:sz w:val="16"/>
              </w:rPr>
              <w:t>VotingClassifier</w:t>
            </w:r>
          </w:p>
        </w:tc>
        <w:tc>
          <w:tcPr>
            <w:tcW w:w="812" w:type="dxa"/>
            <w:vAlign w:val="center"/>
          </w:tcPr>
          <w:p w14:paraId="4DA2E482" w14:textId="77777777" w:rsidR="00000000" w:rsidRDefault="00000000">
            <w:pPr>
              <w:spacing w:before="36" w:after="36"/>
              <w:ind w:firstLine="0"/>
              <w:jc w:val="center"/>
            </w:pPr>
            <w:r>
              <w:rPr>
                <w:sz w:val="16"/>
              </w:rPr>
              <w:t>0.584</w:t>
            </w:r>
          </w:p>
        </w:tc>
        <w:tc>
          <w:tcPr>
            <w:tcW w:w="674" w:type="dxa"/>
            <w:vAlign w:val="center"/>
          </w:tcPr>
          <w:p w14:paraId="7D251DF9" w14:textId="77777777" w:rsidR="00000000" w:rsidRDefault="00000000">
            <w:pPr>
              <w:spacing w:before="36" w:after="36"/>
              <w:ind w:firstLine="0"/>
              <w:jc w:val="center"/>
            </w:pPr>
            <w:r>
              <w:rPr>
                <w:sz w:val="16"/>
              </w:rPr>
              <w:t>0.476</w:t>
            </w:r>
          </w:p>
        </w:tc>
        <w:tc>
          <w:tcPr>
            <w:tcW w:w="1252" w:type="dxa"/>
            <w:vAlign w:val="center"/>
          </w:tcPr>
          <w:p w14:paraId="13FBD5FE" w14:textId="77777777" w:rsidR="00000000" w:rsidRDefault="00000000">
            <w:pPr>
              <w:spacing w:before="36" w:after="36"/>
              <w:ind w:firstLine="0"/>
              <w:jc w:val="center"/>
            </w:pPr>
            <w:r>
              <w:rPr>
                <w:sz w:val="16"/>
              </w:rPr>
              <w:t>0.819</w:t>
            </w:r>
          </w:p>
        </w:tc>
      </w:tr>
      <w:tr w:rsidR="00000000" w14:paraId="02E557FF" w14:textId="77777777">
        <w:trPr>
          <w:jc w:val="center"/>
        </w:trPr>
        <w:tc>
          <w:tcPr>
            <w:tcW w:w="1527" w:type="dxa"/>
            <w:vAlign w:val="center"/>
          </w:tcPr>
          <w:p w14:paraId="0CE6B2AB" w14:textId="77777777" w:rsidR="00000000" w:rsidRDefault="00000000">
            <w:pPr>
              <w:spacing w:before="36" w:after="36"/>
              <w:ind w:firstLine="0"/>
            </w:pPr>
            <w:r>
              <w:rPr>
                <w:sz w:val="16"/>
              </w:rPr>
              <w:t>Stacking temporal</w:t>
            </w:r>
          </w:p>
        </w:tc>
        <w:tc>
          <w:tcPr>
            <w:tcW w:w="812" w:type="dxa"/>
            <w:vAlign w:val="center"/>
          </w:tcPr>
          <w:p w14:paraId="0960FDC0" w14:textId="77777777" w:rsidR="00000000" w:rsidRDefault="00000000">
            <w:pPr>
              <w:spacing w:before="36" w:after="36"/>
              <w:ind w:firstLine="0"/>
              <w:jc w:val="center"/>
            </w:pPr>
            <w:r>
              <w:rPr>
                <w:sz w:val="16"/>
              </w:rPr>
              <w:t>0.518</w:t>
            </w:r>
          </w:p>
        </w:tc>
        <w:tc>
          <w:tcPr>
            <w:tcW w:w="674" w:type="dxa"/>
            <w:vAlign w:val="center"/>
          </w:tcPr>
          <w:p w14:paraId="68F367FE" w14:textId="77777777" w:rsidR="00000000" w:rsidRDefault="00000000">
            <w:pPr>
              <w:spacing w:before="36" w:after="36"/>
              <w:ind w:firstLine="0"/>
              <w:jc w:val="center"/>
            </w:pPr>
            <w:r>
              <w:rPr>
                <w:sz w:val="16"/>
              </w:rPr>
              <w:t>0.445</w:t>
            </w:r>
          </w:p>
        </w:tc>
        <w:tc>
          <w:tcPr>
            <w:tcW w:w="1252" w:type="dxa"/>
            <w:vAlign w:val="center"/>
          </w:tcPr>
          <w:p w14:paraId="5CE972C8" w14:textId="77777777" w:rsidR="00000000" w:rsidRDefault="00000000">
            <w:pPr>
              <w:spacing w:before="36" w:after="36"/>
              <w:ind w:firstLine="0"/>
              <w:jc w:val="center"/>
            </w:pPr>
            <w:r>
              <w:rPr>
                <w:sz w:val="16"/>
              </w:rPr>
              <w:t>0.822</w:t>
            </w:r>
          </w:p>
        </w:tc>
      </w:tr>
      <w:tr w:rsidR="00000000" w14:paraId="4A5F21AD" w14:textId="77777777">
        <w:trPr>
          <w:jc w:val="center"/>
        </w:trPr>
        <w:tc>
          <w:tcPr>
            <w:tcW w:w="1527" w:type="dxa"/>
            <w:vAlign w:val="center"/>
          </w:tcPr>
          <w:p w14:paraId="336D9659" w14:textId="77777777" w:rsidR="00000000" w:rsidRDefault="00000000">
            <w:pPr>
              <w:spacing w:before="36" w:after="36"/>
              <w:ind w:firstLine="0"/>
            </w:pPr>
            <w:r>
              <w:rPr>
                <w:sz w:val="16"/>
              </w:rPr>
              <w:t>Dummy (referencia)</w:t>
            </w:r>
          </w:p>
        </w:tc>
        <w:tc>
          <w:tcPr>
            <w:tcW w:w="812" w:type="dxa"/>
            <w:vAlign w:val="center"/>
          </w:tcPr>
          <w:p w14:paraId="0E2D9D78" w14:textId="77777777" w:rsidR="00000000" w:rsidRDefault="00000000">
            <w:pPr>
              <w:spacing w:before="36" w:after="36"/>
              <w:ind w:firstLine="0"/>
              <w:jc w:val="center"/>
            </w:pPr>
            <w:r>
              <w:rPr>
                <w:sz w:val="16"/>
              </w:rPr>
              <w:t>0.000</w:t>
            </w:r>
          </w:p>
        </w:tc>
        <w:tc>
          <w:tcPr>
            <w:tcW w:w="674" w:type="dxa"/>
            <w:vAlign w:val="center"/>
          </w:tcPr>
          <w:p w14:paraId="06FEB381" w14:textId="77777777" w:rsidR="00000000" w:rsidRDefault="00000000">
            <w:pPr>
              <w:spacing w:before="36" w:after="36"/>
              <w:ind w:firstLine="0"/>
              <w:jc w:val="center"/>
            </w:pPr>
            <w:r>
              <w:rPr>
                <w:sz w:val="16"/>
              </w:rPr>
              <w:t>0.000</w:t>
            </w:r>
          </w:p>
        </w:tc>
        <w:tc>
          <w:tcPr>
            <w:tcW w:w="1252" w:type="dxa"/>
            <w:vAlign w:val="center"/>
          </w:tcPr>
          <w:p w14:paraId="74390419" w14:textId="77777777" w:rsidR="00000000" w:rsidRDefault="00000000">
            <w:pPr>
              <w:spacing w:before="36" w:after="36"/>
              <w:ind w:firstLine="0"/>
              <w:jc w:val="center"/>
            </w:pPr>
            <w:r>
              <w:rPr>
                <w:sz w:val="16"/>
              </w:rPr>
              <w:t>0.500</w:t>
            </w:r>
          </w:p>
        </w:tc>
      </w:tr>
    </w:tbl>
    <w:p w14:paraId="3E9BC795" w14:textId="77777777" w:rsidR="00000000" w:rsidRDefault="00000000"/>
    <w:p w14:paraId="794481E2" w14:textId="77777777" w:rsidR="00000000" w:rsidRDefault="00000000">
      <w:r>
        <w:t xml:space="preserve">Los modelos de boosting de gradiente superan consistentemente a los modelos lineales y al clasificador de referencia (F1 = 0 en todas las particiones), confirmando señal predictiva no lineal. LightGBM obtuvo el mejor F1 en validación —criterio usado para seleccionar el modelo principal—, pero en prueba 2025 CatBoost lo superó en F1 y ROC-AUC, diferencia confirmada como significativa (DeLong, z = 2.70, p = 0.007). La prueba de Friedman sobre </w:t>
      </w:r>
      <w:r>
        <w:lastRenderedPageBreak/>
        <w:t xml:space="preserve">los folds temporales confirmó diferencias globales significativas entre modelos (χ² = 12.6, p = 0.013). </w:t>
      </w:r>
    </w:p>
    <w:p w14:paraId="5437A460" w14:textId="77777777" w:rsidR="00000000" w:rsidRDefault="00000000">
      <w:pPr>
        <w:ind w:firstLine="346"/>
      </w:pPr>
      <w:r>
        <w:t>Aunque CatBoost obtuvo un F1 significativamente mayor en el conjunto de prueba (DeLong, z = 2.70, p = 0.007), seleccionar el modelo final en función de ese resultado habría comprometido el aislamiento temporal declarado en la Sección III.D.1, convirtiendo el hold-out 2025 en un criterio de decisión en lugar de una evaluación independiente. Por ello, LightGBM se mantuvo como modelo principal al ser el mejor bajo el criterio pre-especificado de validación 2024 (Sección III.D.4), decisión respaldada además por su mayor estabilidad relativa a través de los cortes temporales evaluados (F1 = 0.541 ± 0.045 frente a 0.528 ± 0.040 de CatBoost, Sección IV.B).</w:t>
      </w:r>
    </w:p>
    <w:p w14:paraId="75A9D8A7" w14:textId="77777777" w:rsidR="00000000" w:rsidRDefault="00000000">
      <w:pPr>
        <w:pStyle w:val="Ttulo2"/>
        <w:numPr>
          <w:ilvl w:val="1"/>
          <w:numId w:val="2"/>
        </w:numPr>
      </w:pPr>
      <w:r>
        <w:t>B.</w:t>
      </w:r>
      <w:r>
        <w:tab/>
        <w:t>Ajuste de umbral y desempeño del modelo final</w:t>
      </w:r>
    </w:p>
    <w:p w14:paraId="0FE98072" w14:textId="77777777" w:rsidR="00000000" w:rsidRDefault="00000000">
      <w:r>
        <w:t xml:space="preserve">Tras seleccionar LightGBM como modelo principal y optimizar el umbral de decisión en validación (F1-óptimo = 0.66; Sección III.D.4), el desempeño final se muestra en la Tabla IX (Sección III.D): F1 = 0.618 en validación, 0.469 en prueba y 0.559 en el conjunto externo 2026, con intervalos de confianza al 95 % (bootstrap, 300 remuestreos) de F1 </w:t>
      </w:r>
      <w:r>
        <w:rPr>
          <w:rFonts w:ascii="Cambria Math" w:hAnsi="Cambria Math" w:cs="Cambria Math"/>
        </w:rPr>
        <w:t>∈</w:t>
      </w:r>
      <w:r>
        <w:t xml:space="preserve"> [0.390, 0.546] en prueba. La validación cruzada externa por </w:t>
      </w:r>
      <w:r>
        <w:rPr>
          <w:i/>
          <w:iCs/>
        </w:rPr>
        <w:t>walk-forward</w:t>
      </w:r>
      <w:r>
        <w:t xml:space="preserve"> anidado (entrenando incrementalmente año a año) confirmó la estabilidad relativa de LightGBM (F1 medio = 0.541 ± 0.045) frente a CatBoost (0.528 ± 0.040) y regresión logística (0.461 ± 0.025) a través de los siete cortes temporales evaluados (2020–2026).</w:t>
      </w:r>
    </w:p>
    <w:p w14:paraId="0BF15FF9" w14:textId="77777777" w:rsidR="00000000" w:rsidRDefault="00000000">
      <w:pPr>
        <w:pStyle w:val="Ttulo2"/>
        <w:numPr>
          <w:ilvl w:val="1"/>
          <w:numId w:val="2"/>
        </w:numPr>
      </w:pPr>
      <w:r>
        <w:t>C.</w:t>
      </w:r>
      <w:r>
        <w:tab/>
        <w:t>Estudio de ablación de grupos de variables</w:t>
      </w:r>
    </w:p>
    <w:p w14:paraId="45FB7CAB" w14:textId="77777777" w:rsidR="00000000" w:rsidRDefault="00000000">
      <w:pPr>
        <w:rPr>
          <w:b/>
        </w:rPr>
      </w:pPr>
      <w:r>
        <w:t>La Tabla XI resume el estudio de ablación realizado sobre el modelo LightGBM, evaluando el impacto de remover familias completas de variables sobre el desempeño predictivo.</w:t>
      </w:r>
    </w:p>
    <w:p w14:paraId="5BEA8236" w14:textId="77777777" w:rsidR="00000000" w:rsidRDefault="00000000">
      <w:pPr>
        <w:pStyle w:val="Tablecaption1"/>
        <w:rPr>
          <w:b/>
        </w:rPr>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XI</w:t>
      </w:r>
      <w:r>
        <w:rPr>
          <w:b/>
          <w:bCs w:val="0"/>
        </w:rPr>
        <w:fldChar w:fldCharType="end"/>
      </w:r>
      <w:r>
        <w:rPr>
          <w:b/>
          <w:bCs w:val="0"/>
        </w:rPr>
        <w:t>.</w:t>
      </w:r>
      <w:r>
        <w:rPr>
          <w:b/>
        </w:rPr>
        <w:t xml:space="preserve"> </w:t>
      </w:r>
      <w:r>
        <w:rPr>
          <w:bCs w:val="0"/>
        </w:rPr>
        <w:t xml:space="preserve">Estudio de ablación </w:t>
      </w:r>
      <w:r>
        <w:rPr>
          <w:bCs w:val="0"/>
        </w:rPr>
        <w:br/>
        <w:t>(LightGBM, prueba 2025).</w:t>
      </w:r>
    </w:p>
    <w:tbl>
      <w:tblPr>
        <w:tblW w:w="0" w:type="auto"/>
        <w:jc w:val="center"/>
        <w:tblLayout w:type="fixed"/>
        <w:tblLook w:val="0000" w:firstRow="0" w:lastRow="0" w:firstColumn="0" w:lastColumn="0" w:noHBand="0" w:noVBand="0"/>
      </w:tblPr>
      <w:tblGrid>
        <w:gridCol w:w="1070"/>
        <w:gridCol w:w="570"/>
        <w:gridCol w:w="718"/>
        <w:gridCol w:w="702"/>
        <w:gridCol w:w="900"/>
        <w:gridCol w:w="633"/>
        <w:gridCol w:w="663"/>
      </w:tblGrid>
      <w:tr w:rsidR="00000000" w14:paraId="37F1B23F" w14:textId="77777777">
        <w:trPr>
          <w:tblHeader/>
          <w:jc w:val="center"/>
        </w:trPr>
        <w:tc>
          <w:tcPr>
            <w:tcW w:w="1070" w:type="dxa"/>
            <w:tcBorders>
              <w:bottom w:val="single" w:sz="4" w:space="0" w:color="000000"/>
            </w:tcBorders>
            <w:vAlign w:val="center"/>
          </w:tcPr>
          <w:p w14:paraId="4E924681" w14:textId="77777777" w:rsidR="00000000" w:rsidRDefault="00000000">
            <w:pPr>
              <w:spacing w:before="36" w:after="36"/>
              <w:ind w:firstLine="0"/>
              <w:jc w:val="left"/>
            </w:pPr>
            <w:r>
              <w:rPr>
                <w:b/>
                <w:bCs/>
                <w:sz w:val="16"/>
              </w:rPr>
              <w:t>Variante</w:t>
            </w:r>
          </w:p>
        </w:tc>
        <w:tc>
          <w:tcPr>
            <w:tcW w:w="570" w:type="dxa"/>
            <w:tcBorders>
              <w:bottom w:val="single" w:sz="4" w:space="0" w:color="000000"/>
            </w:tcBorders>
            <w:vAlign w:val="center"/>
          </w:tcPr>
          <w:p w14:paraId="5CA7AA7D" w14:textId="77777777" w:rsidR="00000000" w:rsidRDefault="00000000">
            <w:pPr>
              <w:spacing w:before="36" w:after="36"/>
              <w:ind w:firstLine="0"/>
              <w:jc w:val="left"/>
            </w:pPr>
            <w:r>
              <w:rPr>
                <w:b/>
                <w:bCs/>
                <w:sz w:val="16"/>
              </w:rPr>
              <w:t>N.º var.</w:t>
            </w:r>
          </w:p>
        </w:tc>
        <w:tc>
          <w:tcPr>
            <w:tcW w:w="718" w:type="dxa"/>
            <w:tcBorders>
              <w:bottom w:val="single" w:sz="4" w:space="0" w:color="000000"/>
            </w:tcBorders>
            <w:vAlign w:val="center"/>
          </w:tcPr>
          <w:p w14:paraId="27445F45" w14:textId="77777777" w:rsidR="00000000" w:rsidRDefault="00000000">
            <w:pPr>
              <w:spacing w:before="36" w:after="36"/>
              <w:ind w:firstLine="0"/>
              <w:jc w:val="left"/>
            </w:pPr>
            <w:r>
              <w:rPr>
                <w:b/>
                <w:bCs/>
                <w:sz w:val="16"/>
              </w:rPr>
              <w:t>F1</w:t>
            </w:r>
          </w:p>
        </w:tc>
        <w:tc>
          <w:tcPr>
            <w:tcW w:w="702" w:type="dxa"/>
            <w:tcBorders>
              <w:bottom w:val="single" w:sz="4" w:space="0" w:color="000000"/>
            </w:tcBorders>
            <w:vAlign w:val="center"/>
          </w:tcPr>
          <w:p w14:paraId="05079617" w14:textId="77777777" w:rsidR="00000000" w:rsidRDefault="00000000">
            <w:pPr>
              <w:spacing w:before="36" w:after="36"/>
              <w:ind w:firstLine="0"/>
              <w:jc w:val="left"/>
            </w:pPr>
            <w:r>
              <w:rPr>
                <w:b/>
                <w:bCs/>
                <w:sz w:val="16"/>
              </w:rPr>
              <w:t>Recall</w:t>
            </w:r>
          </w:p>
        </w:tc>
        <w:tc>
          <w:tcPr>
            <w:tcW w:w="900" w:type="dxa"/>
            <w:tcBorders>
              <w:bottom w:val="single" w:sz="4" w:space="0" w:color="000000"/>
            </w:tcBorders>
            <w:vAlign w:val="center"/>
          </w:tcPr>
          <w:p w14:paraId="0F15906E" w14:textId="77777777" w:rsidR="00000000" w:rsidRDefault="00000000">
            <w:pPr>
              <w:spacing w:before="36" w:after="36"/>
              <w:ind w:firstLine="0"/>
              <w:jc w:val="left"/>
            </w:pPr>
            <w:r>
              <w:rPr>
                <w:b/>
                <w:bCs/>
                <w:sz w:val="16"/>
              </w:rPr>
              <w:t>Precisión</w:t>
            </w:r>
          </w:p>
        </w:tc>
        <w:tc>
          <w:tcPr>
            <w:tcW w:w="633" w:type="dxa"/>
            <w:tcBorders>
              <w:bottom w:val="single" w:sz="4" w:space="0" w:color="000000"/>
            </w:tcBorders>
            <w:vAlign w:val="center"/>
          </w:tcPr>
          <w:p w14:paraId="4952758C" w14:textId="77777777" w:rsidR="00000000" w:rsidRDefault="00000000">
            <w:pPr>
              <w:spacing w:before="36" w:after="36"/>
              <w:ind w:firstLine="0"/>
              <w:jc w:val="left"/>
            </w:pPr>
            <w:r>
              <w:rPr>
                <w:b/>
                <w:bCs/>
                <w:sz w:val="16"/>
              </w:rPr>
              <w:t>ROC-AUC</w:t>
            </w:r>
          </w:p>
        </w:tc>
        <w:tc>
          <w:tcPr>
            <w:tcW w:w="663" w:type="dxa"/>
            <w:tcBorders>
              <w:bottom w:val="single" w:sz="4" w:space="0" w:color="000000"/>
            </w:tcBorders>
            <w:vAlign w:val="center"/>
          </w:tcPr>
          <w:p w14:paraId="7B744E6D" w14:textId="77777777" w:rsidR="00000000" w:rsidRDefault="00000000">
            <w:pPr>
              <w:spacing w:before="36" w:after="36"/>
              <w:ind w:firstLine="0"/>
              <w:jc w:val="left"/>
            </w:pPr>
            <w:r>
              <w:rPr>
                <w:b/>
                <w:bCs/>
                <w:sz w:val="16"/>
              </w:rPr>
              <w:t>PR-AUC</w:t>
            </w:r>
          </w:p>
        </w:tc>
      </w:tr>
      <w:tr w:rsidR="00000000" w14:paraId="141F484C" w14:textId="77777777">
        <w:trPr>
          <w:jc w:val="center"/>
        </w:trPr>
        <w:tc>
          <w:tcPr>
            <w:tcW w:w="1070" w:type="dxa"/>
            <w:vAlign w:val="center"/>
          </w:tcPr>
          <w:p w14:paraId="4E4FDE19" w14:textId="77777777" w:rsidR="00000000" w:rsidRDefault="00000000">
            <w:pPr>
              <w:spacing w:before="36" w:after="36"/>
              <w:ind w:firstLine="0"/>
              <w:jc w:val="left"/>
            </w:pPr>
            <w:r>
              <w:rPr>
                <w:sz w:val="16"/>
              </w:rPr>
              <w:t>Completo (69 var.)</w:t>
            </w:r>
          </w:p>
        </w:tc>
        <w:tc>
          <w:tcPr>
            <w:tcW w:w="570" w:type="dxa"/>
            <w:vAlign w:val="center"/>
          </w:tcPr>
          <w:p w14:paraId="69083C4C" w14:textId="77777777" w:rsidR="00000000" w:rsidRDefault="00000000">
            <w:pPr>
              <w:spacing w:before="36" w:after="36"/>
              <w:ind w:firstLine="0"/>
              <w:jc w:val="left"/>
            </w:pPr>
            <w:r>
              <w:rPr>
                <w:sz w:val="16"/>
              </w:rPr>
              <w:t>69</w:t>
            </w:r>
          </w:p>
        </w:tc>
        <w:tc>
          <w:tcPr>
            <w:tcW w:w="718" w:type="dxa"/>
            <w:vAlign w:val="center"/>
          </w:tcPr>
          <w:p w14:paraId="7BFE19EE" w14:textId="77777777" w:rsidR="00000000" w:rsidRDefault="00000000">
            <w:pPr>
              <w:spacing w:before="36" w:after="36"/>
              <w:ind w:firstLine="0"/>
              <w:jc w:val="left"/>
            </w:pPr>
            <w:r>
              <w:rPr>
                <w:sz w:val="16"/>
              </w:rPr>
              <w:t>0.466</w:t>
            </w:r>
          </w:p>
        </w:tc>
        <w:tc>
          <w:tcPr>
            <w:tcW w:w="702" w:type="dxa"/>
            <w:vAlign w:val="center"/>
          </w:tcPr>
          <w:p w14:paraId="5E35B5FF" w14:textId="77777777" w:rsidR="00000000" w:rsidRDefault="00000000">
            <w:pPr>
              <w:spacing w:before="36" w:after="36"/>
              <w:ind w:firstLine="0"/>
              <w:jc w:val="left"/>
            </w:pPr>
            <w:r>
              <w:rPr>
                <w:sz w:val="16"/>
              </w:rPr>
              <w:t>0.541</w:t>
            </w:r>
          </w:p>
        </w:tc>
        <w:tc>
          <w:tcPr>
            <w:tcW w:w="900" w:type="dxa"/>
            <w:vAlign w:val="center"/>
          </w:tcPr>
          <w:p w14:paraId="4D93DF43" w14:textId="77777777" w:rsidR="00000000" w:rsidRDefault="00000000">
            <w:pPr>
              <w:spacing w:before="36" w:after="36"/>
              <w:ind w:firstLine="0"/>
              <w:jc w:val="left"/>
            </w:pPr>
            <w:r>
              <w:rPr>
                <w:sz w:val="16"/>
              </w:rPr>
              <w:t>0.410</w:t>
            </w:r>
          </w:p>
        </w:tc>
        <w:tc>
          <w:tcPr>
            <w:tcW w:w="633" w:type="dxa"/>
            <w:vAlign w:val="center"/>
          </w:tcPr>
          <w:p w14:paraId="3CE8EF32" w14:textId="77777777" w:rsidR="00000000" w:rsidRDefault="00000000">
            <w:pPr>
              <w:spacing w:before="36" w:after="36"/>
              <w:ind w:firstLine="0"/>
              <w:jc w:val="left"/>
            </w:pPr>
            <w:r>
              <w:rPr>
                <w:sz w:val="16"/>
              </w:rPr>
              <w:t>0.788</w:t>
            </w:r>
          </w:p>
        </w:tc>
        <w:tc>
          <w:tcPr>
            <w:tcW w:w="663" w:type="dxa"/>
            <w:vAlign w:val="center"/>
          </w:tcPr>
          <w:p w14:paraId="4F2D338B" w14:textId="77777777" w:rsidR="00000000" w:rsidRDefault="00000000">
            <w:pPr>
              <w:spacing w:before="36" w:after="36"/>
              <w:ind w:firstLine="0"/>
              <w:jc w:val="left"/>
            </w:pPr>
            <w:r>
              <w:rPr>
                <w:sz w:val="16"/>
              </w:rPr>
              <w:t>0.507</w:t>
            </w:r>
          </w:p>
        </w:tc>
      </w:tr>
      <w:tr w:rsidR="00000000" w14:paraId="7360FA5C" w14:textId="77777777">
        <w:trPr>
          <w:jc w:val="center"/>
        </w:trPr>
        <w:tc>
          <w:tcPr>
            <w:tcW w:w="1070" w:type="dxa"/>
            <w:vAlign w:val="center"/>
          </w:tcPr>
          <w:p w14:paraId="0F253533" w14:textId="77777777" w:rsidR="00000000" w:rsidRDefault="00000000">
            <w:pPr>
              <w:spacing w:before="36" w:after="36"/>
              <w:ind w:firstLine="0"/>
              <w:jc w:val="left"/>
            </w:pPr>
            <w:r>
              <w:rPr>
                <w:sz w:val="16"/>
              </w:rPr>
              <w:t>Sin crec. Histórico</w:t>
            </w:r>
          </w:p>
        </w:tc>
        <w:tc>
          <w:tcPr>
            <w:tcW w:w="570" w:type="dxa"/>
            <w:vAlign w:val="center"/>
          </w:tcPr>
          <w:p w14:paraId="217691BD" w14:textId="77777777" w:rsidR="00000000" w:rsidRDefault="00000000">
            <w:pPr>
              <w:spacing w:before="36" w:after="36"/>
              <w:ind w:firstLine="0"/>
              <w:jc w:val="left"/>
            </w:pPr>
            <w:r>
              <w:rPr>
                <w:sz w:val="16"/>
              </w:rPr>
              <w:t>66</w:t>
            </w:r>
          </w:p>
        </w:tc>
        <w:tc>
          <w:tcPr>
            <w:tcW w:w="718" w:type="dxa"/>
            <w:vAlign w:val="center"/>
          </w:tcPr>
          <w:p w14:paraId="5CC1B994" w14:textId="77777777" w:rsidR="00000000" w:rsidRDefault="00000000">
            <w:pPr>
              <w:spacing w:before="36" w:after="36"/>
              <w:ind w:firstLine="0"/>
              <w:jc w:val="left"/>
            </w:pPr>
            <w:r>
              <w:rPr>
                <w:sz w:val="16"/>
              </w:rPr>
              <w:t>0.471</w:t>
            </w:r>
          </w:p>
        </w:tc>
        <w:tc>
          <w:tcPr>
            <w:tcW w:w="702" w:type="dxa"/>
            <w:vAlign w:val="center"/>
          </w:tcPr>
          <w:p w14:paraId="0EF94C45" w14:textId="77777777" w:rsidR="00000000" w:rsidRDefault="00000000">
            <w:pPr>
              <w:spacing w:before="36" w:after="36"/>
              <w:ind w:firstLine="0"/>
              <w:jc w:val="left"/>
            </w:pPr>
            <w:r>
              <w:rPr>
                <w:sz w:val="16"/>
              </w:rPr>
              <w:t>0.552</w:t>
            </w:r>
          </w:p>
        </w:tc>
        <w:tc>
          <w:tcPr>
            <w:tcW w:w="900" w:type="dxa"/>
            <w:vAlign w:val="center"/>
          </w:tcPr>
          <w:p w14:paraId="0CEF9CF4" w14:textId="77777777" w:rsidR="00000000" w:rsidRDefault="00000000">
            <w:pPr>
              <w:spacing w:before="36" w:after="36"/>
              <w:ind w:firstLine="0"/>
              <w:jc w:val="left"/>
            </w:pPr>
            <w:r>
              <w:rPr>
                <w:sz w:val="16"/>
              </w:rPr>
              <w:t>0.411</w:t>
            </w:r>
          </w:p>
        </w:tc>
        <w:tc>
          <w:tcPr>
            <w:tcW w:w="633" w:type="dxa"/>
            <w:vAlign w:val="center"/>
          </w:tcPr>
          <w:p w14:paraId="5F6504B8" w14:textId="77777777" w:rsidR="00000000" w:rsidRDefault="00000000">
            <w:pPr>
              <w:spacing w:before="36" w:after="36"/>
              <w:ind w:firstLine="0"/>
              <w:jc w:val="left"/>
            </w:pPr>
            <w:r>
              <w:rPr>
                <w:sz w:val="16"/>
              </w:rPr>
              <w:t>0.810</w:t>
            </w:r>
          </w:p>
        </w:tc>
        <w:tc>
          <w:tcPr>
            <w:tcW w:w="663" w:type="dxa"/>
            <w:vAlign w:val="center"/>
          </w:tcPr>
          <w:p w14:paraId="4172FD02" w14:textId="77777777" w:rsidR="00000000" w:rsidRDefault="00000000">
            <w:pPr>
              <w:spacing w:before="36" w:after="36"/>
              <w:ind w:firstLine="0"/>
              <w:jc w:val="left"/>
            </w:pPr>
            <w:r>
              <w:rPr>
                <w:sz w:val="16"/>
              </w:rPr>
              <w:t>0.521</w:t>
            </w:r>
          </w:p>
        </w:tc>
      </w:tr>
      <w:tr w:rsidR="00000000" w14:paraId="68039DFC" w14:textId="77777777">
        <w:trPr>
          <w:jc w:val="center"/>
        </w:trPr>
        <w:tc>
          <w:tcPr>
            <w:tcW w:w="1070" w:type="dxa"/>
            <w:vAlign w:val="center"/>
          </w:tcPr>
          <w:p w14:paraId="6A7183F2" w14:textId="77777777" w:rsidR="00000000" w:rsidRDefault="00000000">
            <w:pPr>
              <w:spacing w:before="36" w:after="36"/>
              <w:ind w:firstLine="0"/>
              <w:jc w:val="left"/>
            </w:pPr>
            <w:r>
              <w:rPr>
                <w:sz w:val="16"/>
              </w:rPr>
              <w:t>Sin freq. encoding.</w:t>
            </w:r>
          </w:p>
        </w:tc>
        <w:tc>
          <w:tcPr>
            <w:tcW w:w="570" w:type="dxa"/>
            <w:vAlign w:val="center"/>
          </w:tcPr>
          <w:p w14:paraId="1FDFC3BE" w14:textId="77777777" w:rsidR="00000000" w:rsidRDefault="00000000">
            <w:pPr>
              <w:spacing w:before="36" w:after="36"/>
              <w:ind w:firstLine="0"/>
              <w:jc w:val="left"/>
            </w:pPr>
            <w:r>
              <w:rPr>
                <w:sz w:val="16"/>
              </w:rPr>
              <w:t>64</w:t>
            </w:r>
          </w:p>
        </w:tc>
        <w:tc>
          <w:tcPr>
            <w:tcW w:w="718" w:type="dxa"/>
            <w:vAlign w:val="center"/>
          </w:tcPr>
          <w:p w14:paraId="666507EB" w14:textId="77777777" w:rsidR="00000000" w:rsidRDefault="00000000">
            <w:pPr>
              <w:spacing w:before="36" w:after="36"/>
              <w:ind w:firstLine="0"/>
              <w:jc w:val="left"/>
            </w:pPr>
            <w:r>
              <w:rPr>
                <w:sz w:val="16"/>
              </w:rPr>
              <w:t>0.458</w:t>
            </w:r>
          </w:p>
        </w:tc>
        <w:tc>
          <w:tcPr>
            <w:tcW w:w="702" w:type="dxa"/>
            <w:vAlign w:val="center"/>
          </w:tcPr>
          <w:p w14:paraId="4CEDAF8B" w14:textId="77777777" w:rsidR="00000000" w:rsidRDefault="00000000">
            <w:pPr>
              <w:spacing w:before="36" w:after="36"/>
              <w:ind w:firstLine="0"/>
              <w:jc w:val="left"/>
            </w:pPr>
            <w:r>
              <w:rPr>
                <w:sz w:val="16"/>
              </w:rPr>
              <w:t>0.622</w:t>
            </w:r>
          </w:p>
        </w:tc>
        <w:tc>
          <w:tcPr>
            <w:tcW w:w="900" w:type="dxa"/>
            <w:vAlign w:val="center"/>
          </w:tcPr>
          <w:p w14:paraId="557433EC" w14:textId="77777777" w:rsidR="00000000" w:rsidRDefault="00000000">
            <w:pPr>
              <w:spacing w:before="36" w:after="36"/>
              <w:ind w:firstLine="0"/>
              <w:jc w:val="left"/>
            </w:pPr>
            <w:r>
              <w:rPr>
                <w:sz w:val="16"/>
              </w:rPr>
              <w:t>0.363</w:t>
            </w:r>
          </w:p>
        </w:tc>
        <w:tc>
          <w:tcPr>
            <w:tcW w:w="633" w:type="dxa"/>
            <w:vAlign w:val="center"/>
          </w:tcPr>
          <w:p w14:paraId="65F8C910" w14:textId="77777777" w:rsidR="00000000" w:rsidRDefault="00000000">
            <w:pPr>
              <w:spacing w:before="36" w:after="36"/>
              <w:ind w:firstLine="0"/>
              <w:jc w:val="left"/>
            </w:pPr>
            <w:r>
              <w:rPr>
                <w:sz w:val="16"/>
              </w:rPr>
              <w:t>0.818</w:t>
            </w:r>
          </w:p>
        </w:tc>
        <w:tc>
          <w:tcPr>
            <w:tcW w:w="663" w:type="dxa"/>
            <w:vAlign w:val="center"/>
          </w:tcPr>
          <w:p w14:paraId="14464CF9" w14:textId="77777777" w:rsidR="00000000" w:rsidRDefault="00000000">
            <w:pPr>
              <w:spacing w:before="36" w:after="36"/>
              <w:ind w:firstLine="0"/>
              <w:jc w:val="left"/>
            </w:pPr>
            <w:r>
              <w:rPr>
                <w:sz w:val="16"/>
              </w:rPr>
              <w:t>0.522</w:t>
            </w:r>
          </w:p>
        </w:tc>
      </w:tr>
      <w:tr w:rsidR="00000000" w14:paraId="47F2C544" w14:textId="77777777">
        <w:trPr>
          <w:jc w:val="center"/>
        </w:trPr>
        <w:tc>
          <w:tcPr>
            <w:tcW w:w="1070" w:type="dxa"/>
            <w:vAlign w:val="center"/>
          </w:tcPr>
          <w:p w14:paraId="6DD0A8DB" w14:textId="77777777" w:rsidR="00000000" w:rsidRDefault="00000000">
            <w:pPr>
              <w:spacing w:before="36" w:after="36"/>
              <w:ind w:firstLine="0"/>
              <w:jc w:val="left"/>
            </w:pPr>
            <w:r>
              <w:rPr>
                <w:sz w:val="16"/>
              </w:rPr>
              <w:t>Sin interacciones</w:t>
            </w:r>
          </w:p>
        </w:tc>
        <w:tc>
          <w:tcPr>
            <w:tcW w:w="570" w:type="dxa"/>
            <w:vAlign w:val="center"/>
          </w:tcPr>
          <w:p w14:paraId="78EAD15E" w14:textId="77777777" w:rsidR="00000000" w:rsidRDefault="00000000">
            <w:pPr>
              <w:spacing w:before="36" w:after="36"/>
              <w:ind w:firstLine="0"/>
              <w:jc w:val="left"/>
            </w:pPr>
            <w:r>
              <w:rPr>
                <w:sz w:val="16"/>
              </w:rPr>
              <w:t>26</w:t>
            </w:r>
          </w:p>
        </w:tc>
        <w:tc>
          <w:tcPr>
            <w:tcW w:w="718" w:type="dxa"/>
            <w:vAlign w:val="center"/>
          </w:tcPr>
          <w:p w14:paraId="636EEE12" w14:textId="77777777" w:rsidR="00000000" w:rsidRDefault="00000000">
            <w:pPr>
              <w:spacing w:before="36" w:after="36"/>
              <w:ind w:firstLine="0"/>
              <w:jc w:val="left"/>
            </w:pPr>
            <w:r>
              <w:rPr>
                <w:sz w:val="16"/>
              </w:rPr>
              <w:t>0.415</w:t>
            </w:r>
          </w:p>
        </w:tc>
        <w:tc>
          <w:tcPr>
            <w:tcW w:w="702" w:type="dxa"/>
            <w:vAlign w:val="center"/>
          </w:tcPr>
          <w:p w14:paraId="31B00A2C" w14:textId="77777777" w:rsidR="00000000" w:rsidRDefault="00000000">
            <w:pPr>
              <w:spacing w:before="36" w:after="36"/>
              <w:ind w:firstLine="0"/>
              <w:jc w:val="left"/>
            </w:pPr>
            <w:r>
              <w:rPr>
                <w:sz w:val="16"/>
              </w:rPr>
              <w:t>0.634</w:t>
            </w:r>
          </w:p>
        </w:tc>
        <w:tc>
          <w:tcPr>
            <w:tcW w:w="900" w:type="dxa"/>
            <w:vAlign w:val="center"/>
          </w:tcPr>
          <w:p w14:paraId="49830776" w14:textId="77777777" w:rsidR="00000000" w:rsidRDefault="00000000">
            <w:pPr>
              <w:spacing w:before="36" w:after="36"/>
              <w:ind w:firstLine="0"/>
              <w:jc w:val="left"/>
            </w:pPr>
            <w:r>
              <w:rPr>
                <w:sz w:val="16"/>
              </w:rPr>
              <w:t>0.309</w:t>
            </w:r>
          </w:p>
        </w:tc>
        <w:tc>
          <w:tcPr>
            <w:tcW w:w="633" w:type="dxa"/>
            <w:vAlign w:val="center"/>
          </w:tcPr>
          <w:p w14:paraId="42C20CAA" w14:textId="77777777" w:rsidR="00000000" w:rsidRDefault="00000000">
            <w:pPr>
              <w:spacing w:before="36" w:after="36"/>
              <w:ind w:firstLine="0"/>
              <w:jc w:val="left"/>
            </w:pPr>
            <w:r>
              <w:rPr>
                <w:sz w:val="16"/>
              </w:rPr>
              <w:t>0.778</w:t>
            </w:r>
          </w:p>
        </w:tc>
        <w:tc>
          <w:tcPr>
            <w:tcW w:w="663" w:type="dxa"/>
            <w:vAlign w:val="center"/>
          </w:tcPr>
          <w:p w14:paraId="296CA496" w14:textId="77777777" w:rsidR="00000000" w:rsidRDefault="00000000">
            <w:pPr>
              <w:spacing w:before="36" w:after="36"/>
              <w:ind w:firstLine="0"/>
              <w:jc w:val="left"/>
            </w:pPr>
            <w:r>
              <w:rPr>
                <w:sz w:val="16"/>
              </w:rPr>
              <w:t>0.348</w:t>
            </w:r>
          </w:p>
        </w:tc>
      </w:tr>
      <w:tr w:rsidR="00000000" w14:paraId="2BE19085" w14:textId="77777777">
        <w:trPr>
          <w:jc w:val="center"/>
        </w:trPr>
        <w:tc>
          <w:tcPr>
            <w:tcW w:w="1070" w:type="dxa"/>
            <w:vAlign w:val="center"/>
          </w:tcPr>
          <w:p w14:paraId="47869313" w14:textId="77777777" w:rsidR="00000000" w:rsidRDefault="00000000">
            <w:pPr>
              <w:spacing w:before="36" w:after="36"/>
              <w:ind w:firstLine="0"/>
              <w:jc w:val="left"/>
            </w:pPr>
            <w:r>
              <w:rPr>
                <w:sz w:val="16"/>
              </w:rPr>
              <w:t>Sin var. territoriales</w:t>
            </w:r>
          </w:p>
        </w:tc>
        <w:tc>
          <w:tcPr>
            <w:tcW w:w="570" w:type="dxa"/>
            <w:vAlign w:val="center"/>
          </w:tcPr>
          <w:p w14:paraId="10C523C9" w14:textId="77777777" w:rsidR="00000000" w:rsidRDefault="00000000">
            <w:pPr>
              <w:spacing w:before="36" w:after="36"/>
              <w:ind w:firstLine="0"/>
              <w:jc w:val="left"/>
            </w:pPr>
            <w:r>
              <w:rPr>
                <w:sz w:val="16"/>
              </w:rPr>
              <w:t>23</w:t>
            </w:r>
          </w:p>
        </w:tc>
        <w:tc>
          <w:tcPr>
            <w:tcW w:w="718" w:type="dxa"/>
            <w:vAlign w:val="center"/>
          </w:tcPr>
          <w:p w14:paraId="75FA8E5D" w14:textId="77777777" w:rsidR="00000000" w:rsidRDefault="00000000">
            <w:pPr>
              <w:spacing w:before="36" w:after="36"/>
              <w:ind w:firstLine="0"/>
              <w:jc w:val="left"/>
            </w:pPr>
            <w:r>
              <w:rPr>
                <w:sz w:val="16"/>
              </w:rPr>
              <w:t>0.415</w:t>
            </w:r>
          </w:p>
        </w:tc>
        <w:tc>
          <w:tcPr>
            <w:tcW w:w="702" w:type="dxa"/>
            <w:vAlign w:val="center"/>
          </w:tcPr>
          <w:p w14:paraId="28347667" w14:textId="77777777" w:rsidR="00000000" w:rsidRDefault="00000000">
            <w:pPr>
              <w:spacing w:before="36" w:after="36"/>
              <w:ind w:firstLine="0"/>
              <w:jc w:val="left"/>
            </w:pPr>
            <w:r>
              <w:rPr>
                <w:sz w:val="16"/>
              </w:rPr>
              <w:t>0.721</w:t>
            </w:r>
          </w:p>
        </w:tc>
        <w:tc>
          <w:tcPr>
            <w:tcW w:w="900" w:type="dxa"/>
            <w:vAlign w:val="center"/>
          </w:tcPr>
          <w:p w14:paraId="7FAF278E" w14:textId="77777777" w:rsidR="00000000" w:rsidRDefault="00000000">
            <w:pPr>
              <w:spacing w:before="36" w:after="36"/>
              <w:ind w:firstLine="0"/>
              <w:jc w:val="left"/>
            </w:pPr>
            <w:r>
              <w:rPr>
                <w:sz w:val="16"/>
              </w:rPr>
              <w:t>0.292</w:t>
            </w:r>
          </w:p>
        </w:tc>
        <w:tc>
          <w:tcPr>
            <w:tcW w:w="633" w:type="dxa"/>
            <w:vAlign w:val="center"/>
          </w:tcPr>
          <w:p w14:paraId="7D8D6021" w14:textId="77777777" w:rsidR="00000000" w:rsidRDefault="00000000">
            <w:pPr>
              <w:spacing w:before="36" w:after="36"/>
              <w:ind w:firstLine="0"/>
              <w:jc w:val="left"/>
            </w:pPr>
            <w:r>
              <w:rPr>
                <w:sz w:val="16"/>
              </w:rPr>
              <w:t>0.792</w:t>
            </w:r>
          </w:p>
        </w:tc>
        <w:tc>
          <w:tcPr>
            <w:tcW w:w="663" w:type="dxa"/>
            <w:vAlign w:val="center"/>
          </w:tcPr>
          <w:p w14:paraId="33ADC168" w14:textId="77777777" w:rsidR="00000000" w:rsidRDefault="00000000">
            <w:pPr>
              <w:spacing w:before="36" w:after="36"/>
              <w:ind w:firstLine="0"/>
              <w:jc w:val="left"/>
            </w:pPr>
            <w:r>
              <w:rPr>
                <w:sz w:val="16"/>
              </w:rPr>
              <w:t>0.367</w:t>
            </w:r>
          </w:p>
        </w:tc>
      </w:tr>
    </w:tbl>
    <w:p w14:paraId="0771FAB6" w14:textId="77777777" w:rsidR="00000000" w:rsidRDefault="00000000"/>
    <w:p w14:paraId="3AABDB07" w14:textId="77777777" w:rsidR="00000000" w:rsidRDefault="00000000">
      <w:r>
        <w:t>La exclusión de interacciones categóricas y de atributos territoriales produjo las mayores caídas de F1 del estudio (0.415 en ambos casos, frente a 0.466 del modelo completo).</w:t>
      </w:r>
    </w:p>
    <w:p w14:paraId="6DFE7D3F" w14:textId="77777777" w:rsidR="00000000" w:rsidRDefault="00000000">
      <w:r>
        <w:t xml:space="preserve">La eliminación de las variables territoriales sesgó el modelo hacia un comportamiento menos selectivo —incrementando el recall (0.541→0.721) a costa de una caída pronunciada en precisión (0.410→0.292)—, mientras que la exclusión de las interacciones categóricas produjo la mayor pérdida de PR-AUC del estudio (0.507→0.348). En conjunto, </w:t>
      </w:r>
      <w:r>
        <w:t>estos resultados muestran que la señal predictiva depende principalmente de la estructura territorial e institucional del sistema, más que de las variables históricas consideradas de forma aislada.</w:t>
      </w:r>
    </w:p>
    <w:p w14:paraId="5717D4B1" w14:textId="77777777" w:rsidR="00000000" w:rsidRDefault="00000000">
      <w:r>
        <w:t xml:space="preserve">El ROC-AUC, en cambio, se mantuvo estable o incluso mejoró levemente en ambas variantes (0.792 y 0.778 frente a 0.788 del modelo completo), lo que indica que la capacidad de ordenamiento probabilístico del modelo es resiliente a la remoción de estos grupos, y que el impacto observado en F1 responde principalmente a la rigidez del umbral fijo (0.5) usado en esta prueba, distinto del τ=0.66 calibrado para el modelo final. </w:t>
      </w:r>
    </w:p>
    <w:p w14:paraId="48477F6A" w14:textId="77777777" w:rsidR="00000000" w:rsidRDefault="00000000">
      <w:r>
        <w:t>En contraste, remover las tasas de crecimiento histórico no degradó el desempeño (F1=0.471) y remover el frequency encoding generó variación marginal en F1 (0.458) con mejora del ROC-AUC (0.818), evidenciando redundancia informativa con los bloques territoriales de interacción remanentes y validando empíricamente la auditoría de multicolinealidad previa.</w:t>
      </w:r>
    </w:p>
    <w:p w14:paraId="79EFDBAC" w14:textId="77777777" w:rsidR="00000000" w:rsidRDefault="00000000">
      <w:pPr>
        <w:pStyle w:val="Ttulo2"/>
        <w:numPr>
          <w:ilvl w:val="1"/>
          <w:numId w:val="2"/>
        </w:numPr>
      </w:pPr>
      <w:r>
        <w:t>D.</w:t>
      </w:r>
      <w:r>
        <w:tab/>
        <w:t>Explicabilidad: importancia global de variables</w:t>
      </w:r>
    </w:p>
    <w:p w14:paraId="01CB5158" w14:textId="77777777" w:rsidR="00000000" w:rsidRDefault="00000000">
      <w:r>
        <w:t xml:space="preserve">Tanto la importancia por permutación como el valor medio absoluto de SHAP (Sección V) coinciden en señalar como más influyentes a las variables de frecuencia territorial-institucional y al tipo de caso </w:t>
      </w:r>
      <w:r>
        <w:rPr>
          <w:rStyle w:val="Variable"/>
        </w:rPr>
        <w:t>DENUNCIA</w:t>
      </w:r>
      <w:r>
        <w:t xml:space="preserve">, consistente con el hallazgo del estudio de ablación sobre la relevancia territorial. El análisis de interacciones SHAP identificó la combinación </w:t>
      </w:r>
      <w:r>
        <w:rPr>
          <w:rStyle w:val="Variable"/>
        </w:rPr>
        <w:t>freq_inter_distrito_tipo_caso</w:t>
      </w:r>
      <w:r>
        <w:t xml:space="preserve"> × </w:t>
      </w:r>
      <w:r>
        <w:rPr>
          <w:rStyle w:val="Variable"/>
        </w:rPr>
        <w:t>ubigeo_pjfs</w:t>
      </w:r>
      <w:r>
        <w:t xml:space="preserve"> como la de mayor interacción media (0.108), y el análisis contrafactual controlado mostró que, en varios casos individuales, una única variable fue suficiente para cruzar el umbral de decisión, lo que subraya la sensibilidad del modelo a la tipología institucional del caso más que a la carga histórica acumulada.</w:t>
      </w:r>
    </w:p>
    <w:p w14:paraId="6FFC5A2F" w14:textId="77777777" w:rsidR="00000000" w:rsidRDefault="00000000">
      <w:pPr>
        <w:pStyle w:val="Ttulo2"/>
        <w:numPr>
          <w:ilvl w:val="1"/>
          <w:numId w:val="2"/>
        </w:numPr>
      </w:pPr>
      <w:r>
        <w:t>E.</w:t>
      </w:r>
      <w:r>
        <w:tab/>
        <w:t>Robustez temporal y cuantificación de incertidumbre</w:t>
      </w:r>
    </w:p>
    <w:p w14:paraId="3F1CA647" w14:textId="77777777" w:rsidR="00000000" w:rsidRDefault="00000000">
      <w:pPr>
        <w:spacing w:after="120"/>
      </w:pPr>
      <w:r>
        <w:t>La Figura 8 muestra que el modelo mantiene una calibración adecuada para probabilidades bajas, aunque presenta sobreconfianza en el rango medio-alto (ECE = 0.091; MCE = 0.464). Dado que el umbral operativo (τ = 0.66) se ubica cerca de esta región, el puntaje debe interpretarse como un criterio de priorización relativa más que como una probabilidad calibrada exacta.</w:t>
      </w:r>
    </w:p>
    <w:p w14:paraId="4923BD3F" w14:textId="77777777" w:rsidR="00000000" w:rsidRDefault="00000000"/>
    <w:p w14:paraId="7B1FF05A" w14:textId="77777777" w:rsidR="00000000" w:rsidRDefault="00000000">
      <w:pPr>
        <w:ind w:left="397"/>
        <w:rPr>
          <w:b/>
        </w:rPr>
      </w:pPr>
      <w:r>
        <w:rPr>
          <w:lang w:val="es-PE" w:eastAsia="es-PE"/>
        </w:rPr>
        <w:pict w14:anchorId="4FDB8BB9">
          <v:shape id="_x0000_i1038" type="#_x0000_t75" style="width:183.6pt;height:122.4pt" filled="t">
            <v:fill color2="black"/>
            <v:imagedata r:id="rId26" o:title="" croptop="-15f" cropbottom="-15f" cropleft="-5f" cropright="-7f"/>
          </v:shape>
        </w:pict>
      </w:r>
    </w:p>
    <w:p w14:paraId="13549E11"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8</w:t>
      </w:r>
      <w:r>
        <w:rPr>
          <w:b/>
          <w:bCs w:val="0"/>
        </w:rPr>
        <w:fldChar w:fldCharType="end"/>
      </w:r>
      <w:r>
        <w:rPr>
          <w:b/>
          <w:bCs w:val="0"/>
          <w:lang w:val="es-PE"/>
        </w:rPr>
        <w:t>.</w:t>
      </w:r>
      <w:r>
        <w:rPr>
          <w:lang w:val="es-PE"/>
        </w:rPr>
        <w:t xml:space="preserve"> Diagrama de confiabilidad (reliability diagram) del modelo final (LightGBM, </w:t>
      </w:r>
      <w:r>
        <w:t>τ</w:t>
      </w:r>
      <w:r>
        <w:rPr>
          <w:lang w:val="es-PE"/>
        </w:rPr>
        <w:t>=0.66) sobre el conjunto de prueba 2025.</w:t>
      </w:r>
    </w:p>
    <w:p w14:paraId="30409EE9" w14:textId="77777777" w:rsidR="00000000" w:rsidRDefault="00000000">
      <w:pPr>
        <w:pStyle w:val="Ttulo2"/>
        <w:numPr>
          <w:ilvl w:val="1"/>
          <w:numId w:val="2"/>
        </w:numPr>
      </w:pPr>
      <w:r>
        <w:t>F.</w:t>
      </w:r>
      <w:r>
        <w:tab/>
        <w:t>Validación no supervisada y equidad territorial</w:t>
      </w:r>
    </w:p>
    <w:p w14:paraId="3A1D14FB" w14:textId="77777777" w:rsidR="00000000" w:rsidRDefault="00000000">
      <w:r>
        <w:lastRenderedPageBreak/>
        <w:t>La validación no supervisada confirmó que los clústeres con mayor saldo promedio de casos concentraron las mayores tasas de riesgo proxy, respaldando la coherencia entre la estructura operativa identificada y las predicciones del modelo (Tabla VII).</w:t>
      </w:r>
    </w:p>
    <w:p w14:paraId="08BAADD7" w14:textId="77777777" w:rsidR="00000000" w:rsidRDefault="00000000">
      <w:r>
        <w:t xml:space="preserve">La auditoría preliminar de equidad identificó diferencias de desempeño entre tipos de fiscalía y especialidades, las cuales deben interpretarse como indicadores para monitoreo institucional y no como evidencia de discriminación causal, conforme a la literatura sobre límites de las herramientas de riesgo en justicia </w:t>
      </w:r>
      <w:r>
        <w:fldChar w:fldCharType="begin"/>
      </w:r>
      <w:r>
        <w:instrText xml:space="preserve"> ADDIN ZOTERO_ITEM CSL_CITATION {"citationID":"AgvG9U3m","properties":{"unsorted":false,"formattedCitation":"[16]","plainCitation":"[16]","noteIndex":0},"citationItems":[{"id":43,"uris":["http://zotero.org/users/local/0z44BwR0/items/V2MHTV7A"],"itemData":{"id":43,"type":"article-journal","container-title":"Science Advances","DOI":"10.1126/sciadv.aao5580","issue":"1","page":"eaao5580","title":"The accuracy, fairness, and limits of predicting recidivism","URL":"https://doi.org/10.1126/sciadv.aao5580","volume":"4","author":[{"family":"Dressel","given":"Julia"},{"family":"Farid","given":"Hany"}],"issued":{"date-parts":[["2018",1]]}}}],"schema":"https://github.com/citation-style-language/schema/raw/master/csl-citation.json"} </w:instrText>
      </w:r>
      <w:r>
        <w:fldChar w:fldCharType="separate"/>
      </w:r>
      <w:r>
        <w:t>[16]</w:t>
      </w:r>
      <w:r>
        <w:fldChar w:fldCharType="end"/>
      </w:r>
      <w:r>
        <w:t>.</w:t>
      </w:r>
    </w:p>
    <w:p w14:paraId="7CABBD9C" w14:textId="77777777" w:rsidR="00000000" w:rsidRDefault="00000000">
      <w:r>
        <w:t>En conjunto, las evaluaciones de calibración, estructura no supervisada y equidad indican que el modelo mantiene un comportamiento estable bajo distintos criterios de validación, reforzando la confiabilidad de su aplicación como herramienta de apoyo a la gestión operativa.</w:t>
      </w:r>
    </w:p>
    <w:p w14:paraId="639605D4" w14:textId="77777777" w:rsidR="00000000" w:rsidRDefault="00000000">
      <w:pPr>
        <w:pStyle w:val="Ttulo1"/>
        <w:ind w:firstLine="357"/>
      </w:pPr>
      <w:r>
        <w:t>V. Interpretabilidad e Impacto</w:t>
      </w:r>
    </w:p>
    <w:p w14:paraId="0D6A6F1C" w14:textId="77777777" w:rsidR="00000000" w:rsidRDefault="00000000">
      <w:pPr>
        <w:pStyle w:val="Ttulo2"/>
        <w:numPr>
          <w:ilvl w:val="1"/>
          <w:numId w:val="2"/>
        </w:numPr>
      </w:pPr>
      <w:r>
        <w:t>A.</w:t>
      </w:r>
      <w:r>
        <w:tab/>
        <w:t>Interpretabilidad</w:t>
      </w:r>
    </w:p>
    <w:p w14:paraId="47353786" w14:textId="77777777" w:rsidR="00000000" w:rsidRDefault="00000000">
      <w:r>
        <w:t xml:space="preserve">El análisis de interpretabilidad se basa exclusivamente en SHAP </w:t>
      </w:r>
      <w:r>
        <w:fldChar w:fldCharType="begin"/>
      </w:r>
      <w:r>
        <w:instrText xml:space="preserve"> ADDIN ZOTERO_ITEM CSL_CITATION {"citationID":"BfBvYVJ6","properties":{"unsorted":false,"formattedCitation":"[14]","plainCitation":"[14]","noteIndex":0},"citationItems":[{"id":42,"uris":["http://zotero.org/users/local/0z44BwR0/items/PEVPJNKG"],"itemData":{"id":42,"type":"article-journal","container-title":"arXiv (Cornell University)","DOI":"10.48550/arxiv.1705.07874","title":"A Unified Approach to Interpreting Model Predictions","URL":"http://arxiv.org/abs/1705.07874","author":[{"family":"Lundberg","given":"Scott"},{"family":"Lee","given":"Su-In"}],"issued":{"date-parts":[["2017",5]]}}}],"schema":"https://github.com/citation-style-language/schema/raw/master/csl-citation.json"} </w:instrText>
      </w:r>
      <w:r>
        <w:fldChar w:fldCharType="separate"/>
      </w:r>
      <w:r>
        <w:t>[14]</w:t>
      </w:r>
      <w:r>
        <w:fldChar w:fldCharType="end"/>
      </w:r>
      <w:r>
        <w:t>, aplicado sobre el modelo final en el conjunto de prueba 2025. La Figura 9 presenta el resumen global de valores SHAP absolutos promedio para las variables más influyentes.</w:t>
      </w:r>
    </w:p>
    <w:p w14:paraId="5F9FEBEA" w14:textId="77777777" w:rsidR="00000000" w:rsidRDefault="00000000">
      <w:r>
        <w:t xml:space="preserve">La Figura 9 evidencia que el modelo basa principalmente sus predicciones en patrones territoriales e institucionales, más que en variables históricas aisladas. </w:t>
      </w:r>
    </w:p>
    <w:p w14:paraId="152A60DA" w14:textId="77777777" w:rsidR="00000000" w:rsidRDefault="00000000">
      <w:r>
        <w:t>En particular, las variables asociadas con la organización territorial, la especialización institucional y los patrones de frecuencia operacional concentran la mayor contribución predictiva, lo que sugiere que el riesgo proxy refleja configuraciones operativas específicas del Ministerio Público antes que el volumen individual de combinaciones operativas.</w:t>
      </w:r>
    </w:p>
    <w:p w14:paraId="15D253CE" w14:textId="77777777" w:rsidR="00000000" w:rsidRDefault="00000000">
      <w:r>
        <w:t>Cinco variables concentran el 53 % de la señal SHAP, frente al 6 % de las 50 restantes, evidenciando que el modelo prioriza patrones operativos asociados con la frecuencia de atención, la organización territorial y la especialización fiscal.</w:t>
      </w:r>
    </w:p>
    <w:p w14:paraId="40E5B9B0" w14:textId="77777777" w:rsidR="00000000" w:rsidRDefault="00000000">
      <w:r>
        <w:t>En contraste, las variables históricas aportan información complementaria, consistente con el estudio de ablación (Tabla XI), que mostró una mayor contribución de las variables de interacción que de los indicadores históricos individuales.</w:t>
      </w:r>
    </w:p>
    <w:p w14:paraId="48116316" w14:textId="77777777" w:rsidR="00000000" w:rsidRDefault="00000000"/>
    <w:p w14:paraId="5E132E23" w14:textId="77777777" w:rsidR="00000000" w:rsidRDefault="00000000">
      <w:pPr>
        <w:ind w:firstLine="567"/>
        <w:rPr>
          <w:b/>
        </w:rPr>
      </w:pPr>
      <w:r>
        <w:rPr>
          <w:lang w:val="es-PE" w:eastAsia="es-PE"/>
        </w:rPr>
        <w:pict w14:anchorId="348C060F">
          <v:shape id="_x0000_i1039" type="#_x0000_t75" style="width:190.2pt;height:126pt" filled="t">
            <v:fill color2="black"/>
            <v:imagedata r:id="rId27" o:title="" croptop="-24f" cropbottom="-24f" cropleft="-6f" cropright="-9f"/>
          </v:shape>
        </w:pict>
      </w:r>
    </w:p>
    <w:p w14:paraId="20DDEB2E"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9</w:t>
      </w:r>
      <w:r>
        <w:rPr>
          <w:b/>
          <w:bCs w:val="0"/>
        </w:rPr>
        <w:fldChar w:fldCharType="end"/>
      </w:r>
      <w:r>
        <w:rPr>
          <w:b/>
          <w:bCs w:val="0"/>
          <w:lang w:val="es-PE"/>
        </w:rPr>
        <w:t xml:space="preserve">. </w:t>
      </w:r>
      <w:r>
        <w:rPr>
          <w:lang w:val="es-PE"/>
        </w:rPr>
        <w:t>Importancia global de variables según valores SHAP promedio.</w:t>
      </w:r>
    </w:p>
    <w:p w14:paraId="7C93FDDA" w14:textId="77777777" w:rsidR="00000000" w:rsidRDefault="00000000">
      <w:r>
        <w:t xml:space="preserve">Mientras que la Figura 9 resume la importancia global de las variables a nivel del modelo, la Figura 10 muestra cómo dichas variables contribuyen positiva o negativamente en las </w:t>
      </w:r>
      <w:r>
        <w:t>predicciones individuales, permitiendo analizar la variabilidad de sus efectos entre distintas combinaciones operativas.</w:t>
      </w:r>
    </w:p>
    <w:p w14:paraId="547E9299" w14:textId="77777777" w:rsidR="00000000" w:rsidRDefault="00000000">
      <w:r>
        <w:t xml:space="preserve">Mientras algunas variables presentan contribuciones relativamente estables, otras muestran una mayor dispersión de valores SHAP, indicando que su efecto depende del contexto operativo y de la interacción con otras características de la combinación operativa. Este comportamiento refleja la naturaleza no lineal del modelo y justifica el uso de herramientas de interpretabilidad para comprender cómo diferentes configuraciones de variables modifican las predicciones </w:t>
      </w:r>
      <w:r>
        <w:fldChar w:fldCharType="begin"/>
      </w:r>
      <w:r>
        <w:instrText xml:space="preserve"> ADDIN ZOTERO_ITEM CSL_CITATION {"citationID":"z8QVIQU0","properties":{"unsorted":false,"formattedCitation":"[14]","plainCitation":"[14]","noteIndex":0},"citationItems":[{"id":42,"uris":["http://zotero.org/users/local/0z44BwR0/items/PEVPJNKG"],"itemData":{"id":42,"type":"article-journal","container-title":"arXiv (Cornell University)","DOI":"10.48550/arxiv.1705.07874","title":"A Unified Approach to Interpreting Model Predictions","URL":"http://arxiv.org/abs/1705.07874","author":[{"family":"Lundberg","given":"Scott"},{"family":"Lee","given":"Su-In"}],"issued":{"date-parts":[["2017",5]]}}}],"schema":"https://github.com/citation-style-language/schema/raw/master/csl-citation.json"} </w:instrText>
      </w:r>
      <w:r>
        <w:fldChar w:fldCharType="separate"/>
      </w:r>
      <w:r>
        <w:t>[14]</w:t>
      </w:r>
      <w:r>
        <w:fldChar w:fldCharType="end"/>
      </w:r>
      <w:r>
        <w:t>.</w:t>
      </w:r>
    </w:p>
    <w:p w14:paraId="16CAE1E8" w14:textId="77777777" w:rsidR="00000000" w:rsidRDefault="00000000"/>
    <w:p w14:paraId="00495175" w14:textId="77777777" w:rsidR="00000000" w:rsidRDefault="00000000">
      <w:pPr>
        <w:ind w:firstLine="567"/>
        <w:rPr>
          <w:b/>
        </w:rPr>
      </w:pPr>
      <w:r>
        <w:rPr>
          <w:lang w:val="es-PE" w:eastAsia="es-PE"/>
        </w:rPr>
        <w:pict w14:anchorId="7AD13CB8">
          <v:shape id="_x0000_i1040" type="#_x0000_t75" style="width:197.4pt;height:110.4pt" filled="t">
            <v:fill color2="black"/>
            <v:imagedata r:id="rId28" o:title="" croptop="-23f" cropbottom="-23f" cropleft="-6f" cropright="-10f"/>
          </v:shape>
        </w:pict>
      </w:r>
    </w:p>
    <w:p w14:paraId="17C6B69F" w14:textId="77777777" w:rsidR="00000000" w:rsidRDefault="00000000">
      <w:pPr>
        <w:pStyle w:val="FigureCaption"/>
      </w:pPr>
      <w:r>
        <w:rPr>
          <w:b/>
          <w:bCs w:val="0"/>
          <w:lang w:val="es-PE"/>
        </w:rPr>
        <w:t xml:space="preserve">Figura </w:t>
      </w:r>
      <w:r>
        <w:rPr>
          <w:b/>
          <w:bCs w:val="0"/>
        </w:rPr>
        <w:fldChar w:fldCharType="begin"/>
      </w:r>
      <w:r>
        <w:rPr>
          <w:b/>
          <w:bCs w:val="0"/>
        </w:rPr>
        <w:instrText xml:space="preserve"> SEQ "Figura" \* ARABIC </w:instrText>
      </w:r>
      <w:r>
        <w:rPr>
          <w:b/>
          <w:bCs w:val="0"/>
        </w:rPr>
        <w:fldChar w:fldCharType="separate"/>
      </w:r>
      <w:r>
        <w:rPr>
          <w:b/>
          <w:bCs w:val="0"/>
        </w:rPr>
        <w:t>10</w:t>
      </w:r>
      <w:r>
        <w:rPr>
          <w:b/>
          <w:bCs w:val="0"/>
        </w:rPr>
        <w:fldChar w:fldCharType="end"/>
      </w:r>
      <w:r>
        <w:rPr>
          <w:b/>
          <w:bCs w:val="0"/>
          <w:lang w:val="es-PE"/>
        </w:rPr>
        <w:t xml:space="preserve">. </w:t>
      </w:r>
      <w:r>
        <w:rPr>
          <w:lang w:val="es-PE"/>
        </w:rPr>
        <w:t xml:space="preserve">Interacción SHAP entre frecuencia </w:t>
      </w:r>
      <w:r>
        <w:rPr>
          <w:lang w:val="es-PE"/>
        </w:rPr>
        <w:br/>
        <w:t>territorial y ubicación geográfica.</w:t>
      </w:r>
    </w:p>
    <w:p w14:paraId="3D589F52" w14:textId="77777777" w:rsidR="00000000" w:rsidRDefault="00000000">
      <w:r>
        <w:t xml:space="preserve">Esto sugiere que el riesgo proxy no depende de la ubicación geográfica ni del tipo de caso de forma aislada, sino de su combinación específica —consistente con el hallazgo del estudio de ablación de que remover las variables de interacción degrada el desempeño más que remover cualquier otro grupo individual. </w:t>
      </w:r>
    </w:p>
    <w:p w14:paraId="0BE4DF6B" w14:textId="77777777" w:rsidR="00000000" w:rsidRDefault="00000000">
      <w:r>
        <w:t>Estos resultados deben interpretarse como asociación predictiva global aprendida por el modelo, no como relación causal.</w:t>
      </w:r>
    </w:p>
    <w:p w14:paraId="665BD4A0" w14:textId="77777777" w:rsidR="00000000" w:rsidRDefault="00000000">
      <w:pPr>
        <w:pStyle w:val="Ttulo2"/>
        <w:numPr>
          <w:ilvl w:val="1"/>
          <w:numId w:val="2"/>
        </w:numPr>
      </w:pPr>
      <w:r>
        <w:t>B.</w:t>
      </w:r>
      <w:r>
        <w:tab/>
        <w:t>Impacto operacional</w:t>
      </w:r>
    </w:p>
    <w:p w14:paraId="6BF8E646" w14:textId="77777777" w:rsidR="00000000" w:rsidRDefault="00000000">
      <w:r>
        <w:t xml:space="preserve">Para evaluar el posible impacto operativo del modelo, se realizó un análisis de sensibilidad basado en costos paramétricos con fines exclusivamente ilustrativos. Se asumió una relación 10:1 entre el costo de un falso negativo y un falso positivo, considerando el mayor impacto institucional de omitir una alerta potencial. </w:t>
      </w:r>
    </w:p>
    <w:p w14:paraId="46A6F7B3" w14:textId="77777777" w:rsidR="00000000" w:rsidRDefault="00000000">
      <w:pPr>
        <w:rPr>
          <w:b/>
        </w:rPr>
      </w:pPr>
      <w:r>
        <w:t>Bajo este supuesto se asignaron S/ 50,000 por falso negativo y S/ 5,000 por falso positivo. Sobre el conjunto de prueba 2025 (99 FN, 66 FP, 73 TP y 961 TN), el modelo estimó una pérdida ilustrativa de S/ 5,280,000 (Tabla XII). Estos valores no representan costos oficiales del MPFN y únicamente permiten comparar escenarios operativos.</w:t>
      </w:r>
    </w:p>
    <w:p w14:paraId="0E797A01" w14:textId="77777777" w:rsidR="00000000" w:rsidRDefault="00000000">
      <w:pPr>
        <w:pStyle w:val="Tablecaption1"/>
      </w:pPr>
      <w:r>
        <w:rPr>
          <w:b/>
          <w:bCs w:val="0"/>
        </w:rPr>
        <w:t xml:space="preserve">TABLA </w:t>
      </w:r>
      <w:r>
        <w:rPr>
          <w:b/>
          <w:bCs w:val="0"/>
        </w:rPr>
        <w:fldChar w:fldCharType="begin"/>
      </w:r>
      <w:r>
        <w:rPr>
          <w:b/>
          <w:bCs w:val="0"/>
        </w:rPr>
        <w:instrText xml:space="preserve"> SEQ "Tabla" \* ROMAN </w:instrText>
      </w:r>
      <w:r>
        <w:rPr>
          <w:b/>
          <w:bCs w:val="0"/>
        </w:rPr>
        <w:fldChar w:fldCharType="separate"/>
      </w:r>
      <w:r>
        <w:rPr>
          <w:b/>
          <w:bCs w:val="0"/>
        </w:rPr>
        <w:t>XII</w:t>
      </w:r>
      <w:r>
        <w:rPr>
          <w:b/>
          <w:bCs w:val="0"/>
        </w:rPr>
        <w:fldChar w:fldCharType="end"/>
      </w:r>
      <w:r>
        <w:rPr>
          <w:b/>
          <w:bCs w:val="0"/>
        </w:rPr>
        <w:t>.</w:t>
      </w:r>
      <w:r>
        <w:t xml:space="preserve"> Impacto Operacional Bajo Supuestos De Costo Ilustrativos.</w:t>
      </w:r>
    </w:p>
    <w:tbl>
      <w:tblPr>
        <w:tblW w:w="0" w:type="auto"/>
        <w:tblLayout w:type="fixed"/>
        <w:tblLook w:val="0000" w:firstRow="0" w:lastRow="0" w:firstColumn="0" w:lastColumn="0" w:noHBand="0" w:noVBand="0"/>
      </w:tblPr>
      <w:tblGrid>
        <w:gridCol w:w="430"/>
        <w:gridCol w:w="415"/>
        <w:gridCol w:w="422"/>
        <w:gridCol w:w="472"/>
        <w:gridCol w:w="831"/>
        <w:gridCol w:w="797"/>
        <w:gridCol w:w="1024"/>
        <w:gridCol w:w="650"/>
      </w:tblGrid>
      <w:tr w:rsidR="00000000" w14:paraId="05E8E6F2" w14:textId="77777777">
        <w:tc>
          <w:tcPr>
            <w:tcW w:w="430" w:type="dxa"/>
            <w:tcBorders>
              <w:bottom w:val="single" w:sz="4" w:space="0" w:color="000000"/>
            </w:tcBorders>
            <w:vAlign w:val="center"/>
          </w:tcPr>
          <w:p w14:paraId="654A2205" w14:textId="77777777" w:rsidR="00000000" w:rsidRDefault="00000000">
            <w:pPr>
              <w:spacing w:before="36" w:after="36"/>
              <w:ind w:firstLine="0"/>
            </w:pPr>
            <w:hyperlink r:id="rId29" w:history="1">
              <w:r>
                <w:rPr>
                  <w:rStyle w:val="Hipervnculo"/>
                  <w:b/>
                  <w:bCs/>
                  <w:sz w:val="14"/>
                  <w:szCs w:val="14"/>
                  <w:u w:val="none"/>
                </w:rPr>
                <w:t>FN</w:t>
              </w:r>
            </w:hyperlink>
          </w:p>
        </w:tc>
        <w:tc>
          <w:tcPr>
            <w:tcW w:w="415" w:type="dxa"/>
            <w:tcBorders>
              <w:bottom w:val="single" w:sz="4" w:space="0" w:color="000000"/>
            </w:tcBorders>
            <w:vAlign w:val="center"/>
          </w:tcPr>
          <w:p w14:paraId="680819B8" w14:textId="77777777" w:rsidR="00000000" w:rsidRDefault="00000000">
            <w:pPr>
              <w:spacing w:before="36" w:after="36"/>
              <w:ind w:firstLine="0"/>
            </w:pPr>
            <w:hyperlink r:id="rId30" w:history="1">
              <w:r>
                <w:rPr>
                  <w:rStyle w:val="Hipervnculo"/>
                  <w:b/>
                  <w:bCs/>
                  <w:sz w:val="14"/>
                  <w:szCs w:val="14"/>
                  <w:u w:val="none"/>
                </w:rPr>
                <w:t>FP</w:t>
              </w:r>
            </w:hyperlink>
          </w:p>
        </w:tc>
        <w:tc>
          <w:tcPr>
            <w:tcW w:w="422" w:type="dxa"/>
            <w:tcBorders>
              <w:bottom w:val="single" w:sz="4" w:space="0" w:color="000000"/>
            </w:tcBorders>
            <w:vAlign w:val="center"/>
          </w:tcPr>
          <w:p w14:paraId="19CF8402" w14:textId="77777777" w:rsidR="00000000" w:rsidRDefault="00000000">
            <w:pPr>
              <w:spacing w:before="36" w:after="36"/>
              <w:ind w:firstLine="0"/>
            </w:pPr>
            <w:hyperlink r:id="rId31" w:history="1">
              <w:r>
                <w:rPr>
                  <w:rStyle w:val="Hipervnculo"/>
                  <w:b/>
                  <w:bCs/>
                  <w:sz w:val="14"/>
                  <w:szCs w:val="14"/>
                  <w:u w:val="none"/>
                </w:rPr>
                <w:t>TP</w:t>
              </w:r>
            </w:hyperlink>
          </w:p>
        </w:tc>
        <w:tc>
          <w:tcPr>
            <w:tcW w:w="472" w:type="dxa"/>
            <w:tcBorders>
              <w:bottom w:val="single" w:sz="4" w:space="0" w:color="000000"/>
            </w:tcBorders>
            <w:vAlign w:val="center"/>
          </w:tcPr>
          <w:p w14:paraId="4908043D" w14:textId="77777777" w:rsidR="00000000" w:rsidRDefault="00000000">
            <w:pPr>
              <w:spacing w:before="36" w:after="36"/>
              <w:ind w:firstLine="0"/>
            </w:pPr>
            <w:hyperlink r:id="rId32" w:history="1">
              <w:r>
                <w:rPr>
                  <w:rStyle w:val="Hipervnculo"/>
                  <w:b/>
                  <w:bCs/>
                  <w:sz w:val="14"/>
                  <w:szCs w:val="14"/>
                  <w:u w:val="none"/>
                </w:rPr>
                <w:t>TN</w:t>
              </w:r>
            </w:hyperlink>
          </w:p>
        </w:tc>
        <w:tc>
          <w:tcPr>
            <w:tcW w:w="831" w:type="dxa"/>
            <w:tcBorders>
              <w:bottom w:val="single" w:sz="4" w:space="0" w:color="000000"/>
            </w:tcBorders>
            <w:vAlign w:val="center"/>
          </w:tcPr>
          <w:p w14:paraId="539764E3" w14:textId="77777777" w:rsidR="00000000" w:rsidRDefault="00000000">
            <w:pPr>
              <w:spacing w:before="36" w:after="36"/>
              <w:ind w:firstLine="0"/>
            </w:pPr>
            <w:hyperlink r:id="rId33" w:history="1">
              <w:r>
                <w:rPr>
                  <w:rStyle w:val="Hipervnculo"/>
                  <w:b/>
                  <w:bCs/>
                  <w:sz w:val="14"/>
                  <w:szCs w:val="14"/>
                  <w:u w:val="none"/>
                </w:rPr>
                <w:t>Costo FN</w:t>
              </w:r>
            </w:hyperlink>
          </w:p>
        </w:tc>
        <w:tc>
          <w:tcPr>
            <w:tcW w:w="797" w:type="dxa"/>
            <w:tcBorders>
              <w:bottom w:val="single" w:sz="4" w:space="0" w:color="000000"/>
            </w:tcBorders>
            <w:vAlign w:val="center"/>
          </w:tcPr>
          <w:p w14:paraId="7206324D" w14:textId="77777777" w:rsidR="00000000" w:rsidRDefault="00000000">
            <w:pPr>
              <w:spacing w:before="36" w:after="36"/>
              <w:ind w:firstLine="0"/>
            </w:pPr>
            <w:hyperlink r:id="rId34" w:history="1">
              <w:r>
                <w:rPr>
                  <w:rStyle w:val="Hipervnculo"/>
                  <w:b/>
                  <w:bCs/>
                  <w:sz w:val="14"/>
                  <w:szCs w:val="14"/>
                  <w:u w:val="none"/>
                </w:rPr>
                <w:t>Costo FP</w:t>
              </w:r>
            </w:hyperlink>
          </w:p>
        </w:tc>
        <w:tc>
          <w:tcPr>
            <w:tcW w:w="1024" w:type="dxa"/>
            <w:tcBorders>
              <w:bottom w:val="single" w:sz="4" w:space="0" w:color="000000"/>
            </w:tcBorders>
            <w:vAlign w:val="center"/>
          </w:tcPr>
          <w:p w14:paraId="72C4AC01" w14:textId="77777777" w:rsidR="00000000" w:rsidRDefault="00000000">
            <w:pPr>
              <w:spacing w:before="36" w:after="36"/>
              <w:ind w:firstLine="0"/>
            </w:pPr>
            <w:hyperlink r:id="rId35" w:history="1">
              <w:r>
                <w:rPr>
                  <w:rStyle w:val="Hipervnculo"/>
                  <w:b/>
                  <w:bCs/>
                  <w:sz w:val="14"/>
                  <w:szCs w:val="14"/>
                  <w:u w:val="none"/>
                </w:rPr>
                <w:t>Pérdida</w:t>
              </w:r>
            </w:hyperlink>
          </w:p>
        </w:tc>
        <w:tc>
          <w:tcPr>
            <w:tcW w:w="650" w:type="dxa"/>
            <w:tcBorders>
              <w:bottom w:val="single" w:sz="4" w:space="0" w:color="000000"/>
            </w:tcBorders>
            <w:vAlign w:val="center"/>
          </w:tcPr>
          <w:p w14:paraId="7E07A243" w14:textId="77777777" w:rsidR="00000000" w:rsidRDefault="00000000">
            <w:pPr>
              <w:spacing w:before="36" w:after="36"/>
              <w:ind w:firstLine="0"/>
            </w:pPr>
            <w:hyperlink r:id="rId36" w:history="1">
              <w:r>
                <w:rPr>
                  <w:rStyle w:val="Hipervnculo"/>
                  <w:b/>
                  <w:bCs/>
                  <w:sz w:val="14"/>
                  <w:szCs w:val="14"/>
                  <w:u w:val="none"/>
                </w:rPr>
                <w:t>FN:FP</w:t>
              </w:r>
            </w:hyperlink>
          </w:p>
        </w:tc>
      </w:tr>
      <w:tr w:rsidR="00000000" w14:paraId="61FE2C76" w14:textId="77777777">
        <w:tc>
          <w:tcPr>
            <w:tcW w:w="430" w:type="dxa"/>
            <w:vAlign w:val="center"/>
          </w:tcPr>
          <w:p w14:paraId="52F0761B" w14:textId="77777777" w:rsidR="00000000" w:rsidRDefault="00000000">
            <w:pPr>
              <w:spacing w:before="36" w:after="36"/>
              <w:ind w:firstLine="0"/>
            </w:pPr>
            <w:r>
              <w:rPr>
                <w:b/>
                <w:bCs/>
                <w:sz w:val="15"/>
                <w:szCs w:val="15"/>
              </w:rPr>
              <w:t>99</w:t>
            </w:r>
          </w:p>
        </w:tc>
        <w:tc>
          <w:tcPr>
            <w:tcW w:w="415" w:type="dxa"/>
            <w:vAlign w:val="center"/>
          </w:tcPr>
          <w:p w14:paraId="6DEFB961" w14:textId="77777777" w:rsidR="00000000" w:rsidRDefault="00000000">
            <w:pPr>
              <w:spacing w:before="36" w:after="36"/>
              <w:ind w:firstLine="0"/>
            </w:pPr>
            <w:r>
              <w:rPr>
                <w:sz w:val="15"/>
                <w:szCs w:val="15"/>
              </w:rPr>
              <w:t>66</w:t>
            </w:r>
          </w:p>
        </w:tc>
        <w:tc>
          <w:tcPr>
            <w:tcW w:w="422" w:type="dxa"/>
            <w:vAlign w:val="center"/>
          </w:tcPr>
          <w:p w14:paraId="20A7BAB2" w14:textId="77777777" w:rsidR="00000000" w:rsidRDefault="00000000">
            <w:pPr>
              <w:spacing w:before="36" w:after="36"/>
              <w:ind w:firstLine="0"/>
            </w:pPr>
            <w:r>
              <w:rPr>
                <w:sz w:val="15"/>
                <w:szCs w:val="15"/>
              </w:rPr>
              <w:t>73</w:t>
            </w:r>
          </w:p>
        </w:tc>
        <w:tc>
          <w:tcPr>
            <w:tcW w:w="472" w:type="dxa"/>
            <w:vAlign w:val="center"/>
          </w:tcPr>
          <w:p w14:paraId="5DB20D43" w14:textId="77777777" w:rsidR="00000000" w:rsidRDefault="00000000">
            <w:pPr>
              <w:spacing w:before="36" w:after="36"/>
              <w:ind w:firstLine="0"/>
            </w:pPr>
            <w:r>
              <w:rPr>
                <w:sz w:val="15"/>
                <w:szCs w:val="15"/>
              </w:rPr>
              <w:t>961</w:t>
            </w:r>
          </w:p>
        </w:tc>
        <w:tc>
          <w:tcPr>
            <w:tcW w:w="831" w:type="dxa"/>
            <w:vAlign w:val="center"/>
          </w:tcPr>
          <w:p w14:paraId="12B3B1F0" w14:textId="77777777" w:rsidR="00000000" w:rsidRDefault="00000000">
            <w:pPr>
              <w:spacing w:before="36" w:after="36"/>
              <w:ind w:firstLine="0"/>
            </w:pPr>
            <w:r>
              <w:rPr>
                <w:sz w:val="15"/>
                <w:szCs w:val="15"/>
              </w:rPr>
              <w:t>S/ 50,000</w:t>
            </w:r>
          </w:p>
        </w:tc>
        <w:tc>
          <w:tcPr>
            <w:tcW w:w="797" w:type="dxa"/>
            <w:vAlign w:val="center"/>
          </w:tcPr>
          <w:p w14:paraId="12BDFB90" w14:textId="77777777" w:rsidR="00000000" w:rsidRDefault="00000000">
            <w:pPr>
              <w:spacing w:before="36" w:after="36"/>
              <w:ind w:firstLine="0"/>
            </w:pPr>
            <w:r>
              <w:rPr>
                <w:sz w:val="15"/>
                <w:szCs w:val="15"/>
              </w:rPr>
              <w:t>S/ 5,000</w:t>
            </w:r>
          </w:p>
        </w:tc>
        <w:tc>
          <w:tcPr>
            <w:tcW w:w="1024" w:type="dxa"/>
            <w:vAlign w:val="center"/>
          </w:tcPr>
          <w:p w14:paraId="1D687FB5" w14:textId="77777777" w:rsidR="00000000" w:rsidRDefault="00000000">
            <w:pPr>
              <w:spacing w:before="36" w:after="36"/>
              <w:ind w:firstLine="0"/>
            </w:pPr>
            <w:r>
              <w:rPr>
                <w:sz w:val="15"/>
                <w:szCs w:val="15"/>
              </w:rPr>
              <w:t>S/ 5,280,000</w:t>
            </w:r>
          </w:p>
        </w:tc>
        <w:tc>
          <w:tcPr>
            <w:tcW w:w="650" w:type="dxa"/>
            <w:vAlign w:val="center"/>
          </w:tcPr>
          <w:p w14:paraId="4CF805AA" w14:textId="77777777" w:rsidR="00000000" w:rsidRDefault="00000000">
            <w:pPr>
              <w:spacing w:before="36" w:after="36"/>
              <w:ind w:firstLine="0"/>
            </w:pPr>
            <w:r>
              <w:rPr>
                <w:sz w:val="15"/>
                <w:szCs w:val="15"/>
              </w:rPr>
              <w:t>10:1</w:t>
            </w:r>
          </w:p>
        </w:tc>
      </w:tr>
    </w:tbl>
    <w:p w14:paraId="6EFCA5AC" w14:textId="77777777" w:rsidR="00000000" w:rsidRDefault="00000000">
      <w:pPr>
        <w:pStyle w:val="NoteTable"/>
      </w:pPr>
      <w:r>
        <w:rPr>
          <w:b/>
          <w:bCs/>
        </w:rPr>
        <w:t>Nota:</w:t>
      </w:r>
      <w:r>
        <w:t xml:space="preserve"> Los costos son supuestos paramétricos (no cifras auditadas). El módulo de análisis causal (DoubleML-IRM) fue diseñado pero no ejecutado por limitaciones técnicas.</w:t>
      </w:r>
    </w:p>
    <w:p w14:paraId="6D6CAC85" w14:textId="77777777" w:rsidR="00000000" w:rsidRDefault="00000000">
      <w:r>
        <w:t xml:space="preserve">Como línea metodológica futura, se diseñó un módulo de análisis causal basado en Double Machine Learning (IRM); </w:t>
      </w:r>
      <w:r>
        <w:lastRenderedPageBreak/>
        <w:t>sin embargo, no fue ejecutado por limitaciones del entorno computacional. En consecuencia, sus resultados no forman parte del presente estudio y se proponen como trabajo futuro.</w:t>
      </w:r>
    </w:p>
    <w:p w14:paraId="7D236006" w14:textId="77777777" w:rsidR="00000000" w:rsidRDefault="00000000">
      <w:r>
        <w:t xml:space="preserve">De esta manera, las predicciones del modelo se traducen en un criterio objetivo para apoyar la priorización preventiva de combinaciones operativas con mayor riesgo proxy de congestión fiscal, fortaleciendo la planificación operativa del Ministerio Público. </w:t>
      </w:r>
    </w:p>
    <w:p w14:paraId="5127D42B" w14:textId="77777777" w:rsidR="00000000" w:rsidRDefault="00000000">
      <w:r>
        <w:t xml:space="preserve">Estos resultados son consistentes con investigaciones recientes que identifican la organización institucional y los patrones históricos de operación como factores relevantes para el análisis predictivo de sistemas judiciales, aunque el presente trabajo integra dichos elementos dentro de un único framework reproducible </w:t>
      </w:r>
      <w:r>
        <w:fldChar w:fldCharType="begin"/>
      </w:r>
      <w:r>
        <w:instrText xml:space="preserve"> ADDIN ZOTERO_ITEM CSL_CITATION {"citationID":"wg98np4w","properties":{"unsorted":false,"formattedCitation":"[1], [2]","plainCitation":"[1], [2]","noteIndex":0},"citationItems":[{"id":51,"uris":["http://zotero.org/users/local/0z44BwR0/items/BFRWF9E5"],"itemData":{"id":51,"type":"article-journal","abstract":"This paper investigates court congestion through a field study conducted at the Jerusalem District Court in Israel, aiming to reduce case processing time by adapting successful operational concepts to this unique environment. Using a modified difference-in-differences approach, the study suggests a notable 46.1% reduction in the duration of the treated part of the judicial process, demonstrating the efficacy of operational management tools in alleviating court congestion without compromising process quality or requiring additional resources.\n          , \n            Court congestion is a worldwide phenomenon with negative societal effects such as delayed access to justice and drawn-out procedures, as well as negative economic ramifications. In this paper, we report on a field study conducted in cooperation with the Jerusalem District Court in Israel with the aim of reducing average case processing time within the existing set of resources. To achieve this goal, we analyzed the judicial process using operational concepts that have been successfully implemented in other contexts, and we adapted them to the court process. We further collected data before and after the operational changes were implemented to assess the efficacy of the implementation. We exploited the distinctive structure of the judicial process and the fact that our operational changes targeted one part of that process to propose a variation of the difference-in-differences approach to measure the process improvement. The results suggest that the duration of the treated part of the process was reduced by 46.1% postimplementation. We further examined the effect of the treatment on the quality of the process, measured by appeal rate, and found no adverse effect. These analyses demonstrate the potential of using operational management tools and concepts to improve judicial processes and to contribute to the alleviation of court congestion.","container-title":"INFORMS Journal on Applied Analytics","DOI":"10.1287/inte.2023.0026","ISSN":"2644-0865, 2644-0873","issue":"3","journalAbbreviation":"INFORMS Journal on Applied Analytics","language":"en","page":"267-281","source":"DOI.org (Crossref)","title":"Alleviating Court Congestion: The Case of the Jerusalem District Court","title-short":"Alleviating Court Congestion","URL":"https://pubsonline.informs.org/doi/10.1287/inte.2023.0026","volume":"54","author":[{"family":"Azaria","given":"Shany"},{"family":"Ronen","given":"Boaz"},{"family":"Shamir","given":"Noam"}],"accessed":{"date-parts":[["2026",7,16]]},"issued":{"date-parts":[["2024",5]]}}},{"id":52,"uris":["http://zotero.org/users/local/0z44BwR0/items/ASLLKMZQ"],"itemData":{"id":52,"type":"article-journal","abstract":"Maintaining the judiciary requires a high level of budgetary expenditure, but the specifics of this relationship have not yet been fully explored. While several studies have examined the impact of spending on the judiciary through measures related to productivity and performance, none have used machine learning techniques. This study examines the productivity of the court system based on expenditures and other variables using machine learning techniques. In the clustering process Brazilian courts are ranked according to their productivity, while in the neural network step it is verified which characteristics are most relevant at the budgetary level related to judicial productivity for each cluster formed in the first step. The final neural network model supports the results of Pearson’s parametric correlation test, which found no significant correlation between expenditure and productivity. The findings from this study demonstrate the importance of understanding that increasing public budget expenditures alone is not sufficient to improve the efficiency of the judicial system. Instead, other administrative measures are necessary to meet the demands of the Brazilian judiciary and improve service delivery rates. These results offer important theoretical and managerial contributions to the field.","container-title":"Mathematics","DOI":"10.3390/math11143195","ISSN":"2227-7390","issue":"14","journalAbbreviation":"Mathematics","language":"en","page":"3195","source":"DOI.org (Crossref)","title":"Analysis of Judiciary Expenditure and Productivity Using Machine Learning Techniques","URL":"https://www.mdpi.com/2227-7390/11/14/3195","volume":"11","author":[{"family":"Vasconcelos","given":"Fernando Freire"},{"family":"Sátiro","given":"Renato Máximo"},{"family":"Fávero","given":"Luiz Paulo Lopes"},{"family":"Bortoloto","given":"Gabriela Troyano"},{"family":"Corrêa","given":"Hamilton Luiz"}],"accessed":{"date-parts":[["2026",7,16]]},"issued":{"date-parts":[["2023",7,21]]}}}],"schema":"https://github.com/citation-style-language/schema/raw/master/csl-citation.json"} </w:instrText>
      </w:r>
      <w:r>
        <w:fldChar w:fldCharType="separate"/>
      </w:r>
      <w:r>
        <w:t>[1], [2]</w:t>
      </w:r>
      <w:r>
        <w:fldChar w:fldCharType="end"/>
      </w:r>
      <w:r>
        <w:t>.</w:t>
      </w:r>
    </w:p>
    <w:p w14:paraId="0003578E" w14:textId="77777777" w:rsidR="00000000" w:rsidRDefault="00000000">
      <w:pPr>
        <w:pStyle w:val="Ttulo3"/>
        <w:ind w:firstLine="0"/>
      </w:pPr>
      <w:r>
        <w:t>C. Discusión de mecanismos</w:t>
      </w:r>
    </w:p>
    <w:p w14:paraId="1B42A593" w14:textId="77777777" w:rsidR="00000000" w:rsidRDefault="00000000">
      <w:r>
        <w:t>La dominancia de las variables territoriales frente a las históricas es coherente con la naturaleza del target: al definirse sobre percentiles de saldo y tasa de atención, captura sobrecarga estructural asociada a la capacidad instalada de cada distrito fiscal —heterogeneidad entre unidades— más que su dinámica temporal interna, lo que explica por qué la ablación penaliza más la remoción de interacciones territoriales que la de tendencias históricas. La estabilidad de LightGBM frente a CatBoost resulta coherente con la codificación categórica ordenada de este último, más sensible a los desplazamientos de frecuencia por categoría entre años (PSI, Sección III.D.4); además, el test de DeLong compara el ordenamiento probabilístico (ROC-AUC) y no el F1 dependiente del umbral, por lo que la ventaja de CatBoost en 2025 refleja una particularidad de ese corte más que una superioridad sistemática. El bajo aporte del stacking se explica por la alta correlación entre los modelos base —cuatro de ellos variantes de gradient boosting—, lo que limita la diversidad necesaria para que un meta-modelo agregue valor. Finalmente, el desempeño de SVM (F1=0.268) confirma lo observado en la validación no supervisada (Sección III.C): la frontera de decisión no es linealmente separable en el espacio de variables, penalizando a un clasificador de margen lineal frente a modelos capaces de capturar interacciones no lineales.</w:t>
      </w:r>
    </w:p>
    <w:p w14:paraId="66D6BAB7" w14:textId="77777777" w:rsidR="00000000" w:rsidRDefault="00000000">
      <w:pPr>
        <w:pStyle w:val="Ttulo1"/>
        <w:ind w:firstLine="357"/>
      </w:pPr>
      <w:r>
        <w:t>VI. Limitaciones</w:t>
      </w:r>
    </w:p>
    <w:p w14:paraId="56C5DCA0" w14:textId="77777777" w:rsidR="00000000" w:rsidRDefault="00000000">
      <w:r>
        <w:t>La variable objetivo corresponde a un riesgo proxy de congestión construido mediante reglas basadas en percentiles y no constituye una medida oficial del MPFN. Aunque su definición fue sometida a análisis de sensibilidad, permanece sin validación mediante juicio experto externo. La unidad de análisis corresponde a combinaciones agregadas de variables operativas y no a expedientes individuales; por ello, las predicciones deben interpretarse como apoyo para la priorización operativa y no para la evaluación de casos específicos.</w:t>
      </w:r>
    </w:p>
    <w:p w14:paraId="7FADDC0F" w14:textId="77777777" w:rsidR="00000000" w:rsidRDefault="00000000">
      <w:r>
        <w:t>Los resultados fueron obtenidos exclusivamente con datos del Ministerio Público del Perú (2019–2026). Aunque el framework es reproducible, su aplicación en otros sistemas judiciales requiere reentrenamiento y recalibración.</w:t>
      </w:r>
    </w:p>
    <w:p w14:paraId="4BE027E8" w14:textId="77777777" w:rsidR="00000000" w:rsidRDefault="00000000">
      <w:r>
        <w:t xml:space="preserve">La selección del modelo final privilegió la estabilidad durante la validación temporal, aun cuando CatBoost obtuvo </w:t>
      </w:r>
      <w:r>
        <w:t>un mejor desempeño en la prueba 2025, lo que evidencia que el orden relativo entre modelos puede variar entre periodos consecutivos. El análisis de impacto económico utiliza costos paramétricos con fines ilustrativos y no representa estimaciones oficiales del MPFN.</w:t>
      </w:r>
    </w:p>
    <w:p w14:paraId="7167BDE1" w14:textId="77777777" w:rsidR="00000000" w:rsidRDefault="00000000">
      <w:r>
        <w:t>El módulo de Double Machine Learning fue diseñado como extensión metodológica, pero no se ejecutó por limitaciones del entorno computacional; en consecuencia, las relaciones identificadas corresponden exclusivamente a asociaciones predictivas y no deben interpretarse como evidencia causal.</w:t>
      </w:r>
    </w:p>
    <w:p w14:paraId="33EC4F55" w14:textId="77777777" w:rsidR="00000000" w:rsidRDefault="00000000">
      <w:r>
        <w:t>Finalmente, el número limitado de observaciones positivas y el reducido tamaño de algunos subgrupos restringen la precisión de los análisis de equidad y aumentan la variabilidad entre particiones temporales; por ello, estos resultados deben interpretarse como evidencia exploratoria.</w:t>
      </w:r>
    </w:p>
    <w:p w14:paraId="0BAC4D9E" w14:textId="77777777" w:rsidR="00000000" w:rsidRDefault="00000000">
      <w:pPr>
        <w:pStyle w:val="Ttulo1"/>
        <w:ind w:firstLine="357"/>
      </w:pPr>
      <w:r>
        <w:t>VII. Conclusiones</w:t>
      </w:r>
    </w:p>
    <w:p w14:paraId="6C2A62CA" w14:textId="77777777" w:rsidR="00000000" w:rsidRDefault="00000000">
      <w:r>
        <w:t>Este estudio desarrolló y validó un framework de aprendizaje automático para estimar el riesgo proxy de congestión fiscal en el Ministerio Público del Perú, integrando selección de variables por consenso, auditoría de multicolinealidad, validación temporal e interpretabilidad del modelo dentro de un flujo metodológico reproducible. Los resultados demostraron un desempeño estable sobre datos no utilizados durante el entrenamiento y evidenciaron la viabilidad del enfoque para apoyar la identificación temprana de escenarios con mayor riesgo operativo.</w:t>
      </w:r>
    </w:p>
    <w:p w14:paraId="311CC8A9" w14:textId="77777777" w:rsidR="00000000" w:rsidRDefault="00000000">
      <w:r>
        <w:t>El análisis mostró que la capacidad predictiva del modelo depende principalmente de patrones territoriales e institucionales, mientras que las variables históricas aportan información complementaria. La consistencia entre el estudio de ablación y el análisis SHAP respalda este hallazgo y evidencia que el modelo captura configuraciones operativas relevantes para apoyar la priorización preventiva de combinaciones operativas con mayor riesgo estimado. Asimismo, el análisis de impacto operacional mostró el potencial del enfoque para respaldar decisiones de planificación y asignación preventiva de recursos, sin sustituir el criterio de los operadores del Ministerio Público.</w:t>
      </w:r>
    </w:p>
    <w:p w14:paraId="384AB6D0" w14:textId="77777777" w:rsidR="00000000" w:rsidRDefault="00000000">
      <w:r>
        <w:t>Desde una perspectiva metodológica, el principal aporte del trabajo es la integración, en un único framework, de selección robusta de variables, validación temporal orientada a prevenir fuga de información, evaluación de robustez e interpretabilidad del modelo. Esta integración contribuye a cubrir un vacío identificado en la literatura sobre analítica predictiva aplicada al ámbito prosecutorial, donde estos componentes suelen estudiarse de forma aislada.</w:t>
      </w:r>
    </w:p>
    <w:p w14:paraId="255424FA" w14:textId="77777777" w:rsidR="00000000" w:rsidRDefault="00000000">
      <w:r>
        <w:t>Como líneas futuras se plantea validar la definición del riesgo proxy mediante juicio experto, ejecutar el módulo de análisis causal basado en Double Machine Learning, contrastar el análisis de impacto con información institucional oficial, ampliar la ventana temporal de entrenamiento conforme se disponga de nuevos datos y evaluar la transferencia del framework a otros sistemas de justicia mediante procesos de reentrenamiento y validación local.</w:t>
      </w:r>
    </w:p>
    <w:p w14:paraId="281B5560" w14:textId="77777777" w:rsidR="00000000" w:rsidRDefault="00000000">
      <w:pPr>
        <w:pStyle w:val="Ttulo1"/>
        <w:pageBreakBefore/>
        <w:ind w:firstLine="357"/>
      </w:pPr>
      <w:r>
        <w:lastRenderedPageBreak/>
        <w:t>Referencias</w:t>
      </w:r>
    </w:p>
    <w:p w14:paraId="3BA71373" w14:textId="77777777" w:rsidR="00000000" w:rsidRDefault="00000000">
      <w:pPr>
        <w:pStyle w:val="Bibliografa"/>
        <w:rPr>
          <w:lang w:val="en-US"/>
        </w:rPr>
      </w:pPr>
      <w:r>
        <w:fldChar w:fldCharType="begin"/>
      </w:r>
      <w:r>
        <w:rPr>
          <w:lang w:val="en-US"/>
        </w:rPr>
        <w:instrText xml:space="preserve"> ADDIN ZOTERO_BIBL {"uncited":[],"omitted":[],"custom":[]} CSL_BIBLIOGRAPHY </w:instrText>
      </w:r>
      <w:r>
        <w:fldChar w:fldCharType="separate"/>
      </w:r>
      <w:r>
        <w:rPr>
          <w:lang w:val="en-US"/>
        </w:rPr>
        <w:t>[1]</w:t>
      </w:r>
      <w:r>
        <w:rPr>
          <w:lang w:val="en-US"/>
        </w:rPr>
        <w:tab/>
        <w:t xml:space="preserve">S. Azaria, B. Ronen, y N. Shamir, “Alleviating Court Congestion: The Case of the Jerusalem District Court”, </w:t>
      </w:r>
      <w:r>
        <w:rPr>
          <w:i/>
          <w:iCs/>
          <w:lang w:val="en-US"/>
        </w:rPr>
        <w:t>Inf. J. Appl. Anal.</w:t>
      </w:r>
      <w:r>
        <w:rPr>
          <w:lang w:val="en-US"/>
        </w:rPr>
        <w:t>, vol. 54, núm. 3, pp. 267–281, may 2024, doi: 10.1287/inte.2023.0026.</w:t>
      </w:r>
    </w:p>
    <w:p w14:paraId="13A1F8DF" w14:textId="77777777" w:rsidR="00000000" w:rsidRDefault="00000000">
      <w:pPr>
        <w:pStyle w:val="Bibliografa"/>
        <w:rPr>
          <w:lang w:val="en-US"/>
        </w:rPr>
      </w:pPr>
      <w:r>
        <w:rPr>
          <w:lang w:val="en-US"/>
        </w:rPr>
        <w:t>[2]</w:t>
      </w:r>
      <w:r>
        <w:rPr>
          <w:lang w:val="en-US"/>
        </w:rPr>
        <w:tab/>
        <w:t xml:space="preserve">F. F. Vasconcelos, R. M. Sátiro, L. P. L. Fávero, G. T. Bortoloto, y H. L. Corrêa, “Analysis of Judiciary Expenditure and Productivity Using Machine Learning Techniques”, </w:t>
      </w:r>
      <w:r>
        <w:rPr>
          <w:i/>
          <w:iCs/>
          <w:lang w:val="en-US"/>
        </w:rPr>
        <w:t>Mathematics</w:t>
      </w:r>
      <w:r>
        <w:rPr>
          <w:lang w:val="en-US"/>
        </w:rPr>
        <w:t>, vol. 11, núm. 14, p. 3195, jul. 2023, doi: 10.3390/math11143195.</w:t>
      </w:r>
    </w:p>
    <w:p w14:paraId="47D55189" w14:textId="77777777" w:rsidR="00000000" w:rsidRDefault="00000000">
      <w:pPr>
        <w:pStyle w:val="Bibliografa"/>
        <w:rPr>
          <w:lang w:val="en-US"/>
        </w:rPr>
      </w:pPr>
      <w:r>
        <w:rPr>
          <w:lang w:val="en-US"/>
        </w:rPr>
        <w:t>[3]</w:t>
      </w:r>
      <w:r>
        <w:rPr>
          <w:lang w:val="en-US"/>
        </w:rPr>
        <w:tab/>
        <w:t xml:space="preserve">B. Pernici, C. A. Bono, L. Piro, M. Del Treste, y G. Vecchi, “Improving the analysis of the judiciary performance - the use of data mining techniques to assess the timeliness of civil trials”, </w:t>
      </w:r>
      <w:r>
        <w:rPr>
          <w:i/>
          <w:iCs/>
          <w:lang w:val="en-US"/>
        </w:rPr>
        <w:t>Int. J. Public Sect. Manag.</w:t>
      </w:r>
      <w:r>
        <w:rPr>
          <w:lang w:val="en-US"/>
        </w:rPr>
        <w:t>, vol. 37, núm. 1, pp. 59–76, ene. 2024, doi: 10.1108/IJPSM-02-2023-0058.</w:t>
      </w:r>
    </w:p>
    <w:p w14:paraId="5DA5DC65" w14:textId="77777777" w:rsidR="00000000" w:rsidRDefault="00000000">
      <w:pPr>
        <w:pStyle w:val="Bibliografa"/>
        <w:rPr>
          <w:lang w:val="en-US"/>
        </w:rPr>
      </w:pPr>
      <w:r>
        <w:rPr>
          <w:lang w:val="en-US"/>
        </w:rPr>
        <w:t>[4]</w:t>
      </w:r>
      <w:r>
        <w:rPr>
          <w:lang w:val="en-US"/>
        </w:rPr>
        <w:tab/>
        <w:t xml:space="preserve">A.-H. Alhalalmeh y A. Al-Tarawneh, “Artificial Intelligence and the Law: The Complexities of Technology and Legalities”, en </w:t>
      </w:r>
      <w:r>
        <w:rPr>
          <w:i/>
          <w:iCs/>
          <w:lang w:val="en-US"/>
        </w:rPr>
        <w:t>Intelligence-Driven Circular Economy</w:t>
      </w:r>
      <w:r>
        <w:rPr>
          <w:lang w:val="en-US"/>
        </w:rPr>
        <w:t>, vol. 1174, A. Hannoon y A. Mahmood, Eds., en Studies in Computational Intelligence, vol. 1174. , Cham: Springer Nature Switzerland, 2025, pp. 641–649. doi: 10.1007/978-3-031-74220-0_50.</w:t>
      </w:r>
    </w:p>
    <w:p w14:paraId="3F04F08C" w14:textId="77777777" w:rsidR="00000000" w:rsidRDefault="00000000">
      <w:pPr>
        <w:pStyle w:val="Bibliografa"/>
        <w:rPr>
          <w:lang w:val="en-US"/>
        </w:rPr>
      </w:pPr>
      <w:r>
        <w:rPr>
          <w:lang w:val="en-US"/>
        </w:rPr>
        <w:t>[5]</w:t>
      </w:r>
      <w:r>
        <w:rPr>
          <w:lang w:val="en-US"/>
        </w:rPr>
        <w:tab/>
        <w:t xml:space="preserve">X. Zhou, W. Yuan, Q. Gao, y C. Yang, “An efficient ensemble learning method based on multi-objective feature selection”, </w:t>
      </w:r>
      <w:r>
        <w:rPr>
          <w:i/>
          <w:iCs/>
          <w:lang w:val="en-US"/>
        </w:rPr>
        <w:t>Inf. Sci.</w:t>
      </w:r>
      <w:r>
        <w:rPr>
          <w:lang w:val="en-US"/>
        </w:rPr>
        <w:t>, vol. 679, p. 121084, sep. 2024, doi: 10.1016/j.ins.2024.121084.</w:t>
      </w:r>
    </w:p>
    <w:p w14:paraId="3B8D0D3E" w14:textId="77777777" w:rsidR="00000000" w:rsidRDefault="00000000">
      <w:pPr>
        <w:pStyle w:val="Bibliografa"/>
        <w:rPr>
          <w:lang w:val="en-US"/>
        </w:rPr>
      </w:pPr>
      <w:r>
        <w:rPr>
          <w:lang w:val="en-US"/>
        </w:rPr>
        <w:t>[6]</w:t>
      </w:r>
      <w:r>
        <w:rPr>
          <w:lang w:val="en-US"/>
        </w:rPr>
        <w:tab/>
        <w:t xml:space="preserve">A. Moslemi, “A tutorial-based survey on feature selection: Recent advancements on feature selection”, </w:t>
      </w:r>
      <w:r>
        <w:rPr>
          <w:i/>
          <w:iCs/>
          <w:lang w:val="en-US"/>
        </w:rPr>
        <w:t>Eng. Appl. Artif. Intell.</w:t>
      </w:r>
      <w:r>
        <w:rPr>
          <w:lang w:val="en-US"/>
        </w:rPr>
        <w:t>, vol. 126, p. 107136, nov. 2023, doi: 10.1016/j.engappai.2023.107136.</w:t>
      </w:r>
    </w:p>
    <w:p w14:paraId="2D41C9F5" w14:textId="77777777" w:rsidR="00000000" w:rsidRDefault="00000000">
      <w:pPr>
        <w:pStyle w:val="Bibliografa"/>
        <w:rPr>
          <w:lang w:val="en-US"/>
        </w:rPr>
      </w:pPr>
      <w:r>
        <w:rPr>
          <w:lang w:val="en-US"/>
        </w:rPr>
        <w:t>[7]</w:t>
      </w:r>
      <w:r>
        <w:rPr>
          <w:lang w:val="en-US"/>
        </w:rPr>
        <w:tab/>
        <w:t xml:space="preserve">M. B. Kursa y W. R. Rudnicki, “Feature Selection with theBorutaPackage”, </w:t>
      </w:r>
      <w:r>
        <w:rPr>
          <w:i/>
          <w:iCs/>
          <w:lang w:val="en-US"/>
        </w:rPr>
        <w:t>J. Stat. Softw.</w:t>
      </w:r>
      <w:r>
        <w:rPr>
          <w:lang w:val="en-US"/>
        </w:rPr>
        <w:t>, vol. 36, núm. 11, ene. 2010, doi: 10.18637/jss.v036.i11.</w:t>
      </w:r>
    </w:p>
    <w:p w14:paraId="4FED8BF4" w14:textId="77777777" w:rsidR="00000000" w:rsidRDefault="00000000">
      <w:pPr>
        <w:pStyle w:val="Bibliografa"/>
        <w:rPr>
          <w:lang w:val="en-US"/>
        </w:rPr>
      </w:pPr>
      <w:r>
        <w:rPr>
          <w:lang w:val="en-US"/>
        </w:rPr>
        <w:t>[8]</w:t>
      </w:r>
      <w:r>
        <w:rPr>
          <w:lang w:val="en-US"/>
        </w:rPr>
        <w:tab/>
        <w:t xml:space="preserve">N. V. Chawla, K. W. Bowyer, L. O. Hall, y W. P. Kegelmeyer, “SMOTE: Synthetic Minority Over-sampling technique”, </w:t>
      </w:r>
      <w:r>
        <w:rPr>
          <w:i/>
          <w:iCs/>
          <w:lang w:val="en-US"/>
        </w:rPr>
        <w:t>J. Artif. Intell. Res.</w:t>
      </w:r>
      <w:r>
        <w:rPr>
          <w:lang w:val="en-US"/>
        </w:rPr>
        <w:t>, vol. 16, pp. 321–357, jun. 2002, doi: 10.1613/jair.953.</w:t>
      </w:r>
    </w:p>
    <w:p w14:paraId="671EE236" w14:textId="77777777" w:rsidR="00000000" w:rsidRDefault="00000000">
      <w:pPr>
        <w:pStyle w:val="Bibliografa"/>
        <w:rPr>
          <w:lang w:val="en-US"/>
        </w:rPr>
      </w:pPr>
      <w:r>
        <w:rPr>
          <w:lang w:val="en-US"/>
        </w:rPr>
        <w:t>[9]</w:t>
      </w:r>
      <w:r>
        <w:rPr>
          <w:lang w:val="en-US"/>
        </w:rPr>
        <w:tab/>
        <w:t xml:space="preserve">S. Kapoor y A. Narayanan, “Leakage and the reproducibility crisis in machine-learning-based science”, </w:t>
      </w:r>
      <w:r>
        <w:rPr>
          <w:i/>
          <w:iCs/>
          <w:lang w:val="en-US"/>
        </w:rPr>
        <w:t>Patterns</w:t>
      </w:r>
      <w:r>
        <w:rPr>
          <w:lang w:val="en-US"/>
        </w:rPr>
        <w:t>, vol. 4, núm. 9, p. 100804, ago. 2023, doi: 10.1016/j.patter.2023.100804.</w:t>
      </w:r>
    </w:p>
    <w:p w14:paraId="26D911E7" w14:textId="77777777" w:rsidR="00000000" w:rsidRDefault="00000000">
      <w:pPr>
        <w:pStyle w:val="Bibliografa"/>
        <w:rPr>
          <w:lang w:val="en-US"/>
        </w:rPr>
      </w:pPr>
      <w:r>
        <w:rPr>
          <w:lang w:val="en-US"/>
        </w:rPr>
        <w:t>[10]</w:t>
      </w:r>
      <w:r>
        <w:rPr>
          <w:lang w:val="en-US"/>
        </w:rPr>
        <w:tab/>
        <w:t xml:space="preserve">L. Sasse </w:t>
      </w:r>
      <w:r>
        <w:rPr>
          <w:i/>
          <w:iCs/>
          <w:lang w:val="en-US"/>
        </w:rPr>
        <w:t>et al.</w:t>
      </w:r>
      <w:r>
        <w:rPr>
          <w:lang w:val="en-US"/>
        </w:rPr>
        <w:t xml:space="preserve">, “On Leakage in Machine Learning Pipelines”, 2023, </w:t>
      </w:r>
      <w:r>
        <w:rPr>
          <w:i/>
          <w:iCs/>
          <w:lang w:val="en-US"/>
        </w:rPr>
        <w:t>arXiv</w:t>
      </w:r>
      <w:r>
        <w:rPr>
          <w:lang w:val="en-US"/>
        </w:rPr>
        <w:t>. doi: 10.48550/ARXIV.2311.04179.</w:t>
      </w:r>
    </w:p>
    <w:p w14:paraId="70908E0D" w14:textId="77777777" w:rsidR="00000000" w:rsidRDefault="00000000">
      <w:pPr>
        <w:pStyle w:val="Bibliografa"/>
        <w:rPr>
          <w:lang w:val="en-US"/>
        </w:rPr>
      </w:pPr>
      <w:r>
        <w:rPr>
          <w:lang w:val="en-US"/>
        </w:rPr>
        <w:t>[11]</w:t>
      </w:r>
      <w:r>
        <w:rPr>
          <w:lang w:val="en-US"/>
        </w:rPr>
        <w:tab/>
        <w:t xml:space="preserve">S. Hamdan, S. More, L. Sasse, V. Komeyer, K. R. Patil, y F. Raimondo, “Julearn: an easy-to-use library for leakage-free evaluation and inspection of ML models”, 2023, </w:t>
      </w:r>
      <w:r>
        <w:rPr>
          <w:i/>
          <w:iCs/>
          <w:lang w:val="en-US"/>
        </w:rPr>
        <w:t>arXiv</w:t>
      </w:r>
      <w:r>
        <w:rPr>
          <w:lang w:val="en-US"/>
        </w:rPr>
        <w:t>. doi: 10.48550/ARXIV.2310.12568.</w:t>
      </w:r>
    </w:p>
    <w:p w14:paraId="74A67F55" w14:textId="77777777" w:rsidR="00000000" w:rsidRDefault="00000000">
      <w:pPr>
        <w:pStyle w:val="Bibliografa"/>
        <w:rPr>
          <w:lang w:val="en-US"/>
        </w:rPr>
      </w:pPr>
      <w:r>
        <w:rPr>
          <w:lang w:val="en-US"/>
        </w:rPr>
        <w:t>[12]</w:t>
      </w:r>
      <w:r>
        <w:rPr>
          <w:lang w:val="en-US"/>
        </w:rPr>
        <w:tab/>
        <w:t xml:space="preserve">K. M. Richmond, S. M. Muddamsetty, T. Gammeltoft-Hansen, H. P. Olsen, y T. B. Moeslund, “Explainable AI and Law: An Evidential Survey”, </w:t>
      </w:r>
      <w:r>
        <w:rPr>
          <w:i/>
          <w:iCs/>
          <w:lang w:val="en-US"/>
        </w:rPr>
        <w:t>Digit. Soc.</w:t>
      </w:r>
      <w:r>
        <w:rPr>
          <w:lang w:val="en-US"/>
        </w:rPr>
        <w:t>, vol. 3, núm. 1, p. 1, may 2024, doi: 10.1007/s44206-023-00081-z.</w:t>
      </w:r>
    </w:p>
    <w:p w14:paraId="326FCE66" w14:textId="77777777" w:rsidR="00000000" w:rsidRDefault="00000000">
      <w:pPr>
        <w:pStyle w:val="Bibliografa"/>
        <w:rPr>
          <w:lang w:val="en-US"/>
        </w:rPr>
      </w:pPr>
      <w:r>
        <w:rPr>
          <w:lang w:val="en-US"/>
        </w:rPr>
        <w:t>[13]</w:t>
      </w:r>
      <w:r>
        <w:rPr>
          <w:lang w:val="en-US"/>
        </w:rPr>
        <w:tab/>
        <w:t xml:space="preserve">M. Saarela y V. Podgorelec, “Recent Applications of Explainable AI (XAI): A Systematic Literature Review”, </w:t>
      </w:r>
      <w:r>
        <w:rPr>
          <w:i/>
          <w:iCs/>
          <w:lang w:val="en-US"/>
        </w:rPr>
        <w:t>Appl. Sci.</w:t>
      </w:r>
      <w:r>
        <w:rPr>
          <w:lang w:val="en-US"/>
        </w:rPr>
        <w:t>, vol. 14, núm. 19, p. 8884, oct. 2024, doi: 10.3390/app14198884.</w:t>
      </w:r>
    </w:p>
    <w:p w14:paraId="064DF5E7" w14:textId="77777777" w:rsidR="00000000" w:rsidRDefault="00000000">
      <w:pPr>
        <w:pStyle w:val="Bibliografa"/>
        <w:rPr>
          <w:lang w:val="en-US"/>
        </w:rPr>
      </w:pPr>
      <w:r>
        <w:rPr>
          <w:lang w:val="en-US"/>
        </w:rPr>
        <w:t>[14]</w:t>
      </w:r>
      <w:r>
        <w:rPr>
          <w:lang w:val="en-US"/>
        </w:rPr>
        <w:tab/>
        <w:t xml:space="preserve">S. Lundberg y S.-I. Lee, “A Unified Approach to Interpreting Model Predictions”, </w:t>
      </w:r>
      <w:r>
        <w:rPr>
          <w:i/>
          <w:iCs/>
          <w:lang w:val="en-US"/>
        </w:rPr>
        <w:t>ArXiv Cornell Univ.</w:t>
      </w:r>
      <w:r>
        <w:rPr>
          <w:lang w:val="en-US"/>
        </w:rPr>
        <w:t>, may 2017, doi: 10.48550/arxiv.1705.07874.</w:t>
      </w:r>
    </w:p>
    <w:p w14:paraId="77DF4008" w14:textId="77777777" w:rsidR="00000000" w:rsidRDefault="00000000">
      <w:pPr>
        <w:pStyle w:val="Bibliografa"/>
        <w:rPr>
          <w:lang w:val="en-US"/>
        </w:rPr>
      </w:pPr>
      <w:r>
        <w:rPr>
          <w:lang w:val="en-US"/>
        </w:rPr>
        <w:t>[15]</w:t>
      </w:r>
      <w:r>
        <w:rPr>
          <w:lang w:val="en-US"/>
        </w:rPr>
        <w:tab/>
        <w:t xml:space="preserve">M. Bhatnagar y S. Huchhanavar, “Hybrid machine learning modelling with explainability for predicting case delays and durations in Indian lower courts”, </w:t>
      </w:r>
      <w:r>
        <w:rPr>
          <w:i/>
          <w:iCs/>
          <w:lang w:val="en-US"/>
        </w:rPr>
        <w:t>J. Big Data</w:t>
      </w:r>
      <w:r>
        <w:rPr>
          <w:lang w:val="en-US"/>
        </w:rPr>
        <w:t>, vol. 13, núm. 1, dic. 2025, doi: 10.1186/s40537-025-01340-1.</w:t>
      </w:r>
    </w:p>
    <w:p w14:paraId="4AA87E0C" w14:textId="77777777" w:rsidR="00000000" w:rsidRDefault="00000000">
      <w:pPr>
        <w:pStyle w:val="Bibliografa"/>
        <w:rPr>
          <w:lang w:val="en-US"/>
        </w:rPr>
      </w:pPr>
      <w:r>
        <w:rPr>
          <w:lang w:val="en-US"/>
        </w:rPr>
        <w:t>[16]</w:t>
      </w:r>
      <w:r>
        <w:rPr>
          <w:lang w:val="en-US"/>
        </w:rPr>
        <w:tab/>
        <w:t xml:space="preserve">J. Dressel y H. Farid, “The accuracy, fairness, and limits of predicting recidivism”, </w:t>
      </w:r>
      <w:r>
        <w:rPr>
          <w:i/>
          <w:iCs/>
          <w:lang w:val="en-US"/>
        </w:rPr>
        <w:t>Sci. Adv.</w:t>
      </w:r>
      <w:r>
        <w:rPr>
          <w:lang w:val="en-US"/>
        </w:rPr>
        <w:t>, vol. 4, núm. 1, p. eaao5580, ene. 2018, doi: 10.1126/sciadv.aao5580.</w:t>
      </w:r>
    </w:p>
    <w:p w14:paraId="3CF8780A" w14:textId="77777777" w:rsidR="00000000" w:rsidRDefault="00000000">
      <w:pPr>
        <w:pStyle w:val="Bibliografa"/>
      </w:pPr>
      <w:r>
        <w:rPr>
          <w:lang w:val="en-US"/>
        </w:rPr>
        <w:t>[17]</w:t>
      </w:r>
      <w:r>
        <w:rPr>
          <w:lang w:val="en-US"/>
        </w:rPr>
        <w:tab/>
        <w:t xml:space="preserve">I. Taylor, “Is explainable AI responsible AI?”, </w:t>
      </w:r>
      <w:r>
        <w:rPr>
          <w:i/>
          <w:iCs/>
          <w:lang w:val="en-US"/>
        </w:rPr>
        <w:t>AI Soc.</w:t>
      </w:r>
      <w:r>
        <w:rPr>
          <w:lang w:val="en-US"/>
        </w:rPr>
        <w:t>, vol. 40, núm. 3, pp. 1695–1704, mar. 2025, doi: 10.1007/s00146-024-01939-7.</w:t>
      </w:r>
    </w:p>
    <w:p w14:paraId="2321DDC5" w14:textId="77777777" w:rsidR="00000000" w:rsidRDefault="00000000">
      <w:pPr>
        <w:pStyle w:val="Bibliografa"/>
      </w:pPr>
      <w:r>
        <w:t>[18]</w:t>
      </w:r>
      <w:r>
        <w:tab/>
        <w:t>Ministerio Público – Fiscalía de la Nación (MPFN), “[MPFN] Casos fiscales | Plataforma Nacional de Datos Abiertos”. abril de 2022. [En línea]. Disponible en: https://www.datosabiertos.gob.pe/dataset/mpfn-casos-fiscales</w:t>
      </w:r>
    </w:p>
    <w:p w14:paraId="654582A4" w14:textId="77777777" w:rsidR="00E41BA0" w:rsidRDefault="00000000">
      <w:r>
        <w:fldChar w:fldCharType="end"/>
      </w:r>
    </w:p>
    <w:sectPr w:rsidR="00E41BA0">
      <w:type w:val="continuous"/>
      <w:pgSz w:w="12240" w:h="15840"/>
      <w:pgMar w:top="1080" w:right="900" w:bottom="1440" w:left="90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BEB2A" w14:textId="77777777" w:rsidR="00E41BA0" w:rsidRDefault="00E41BA0">
      <w:r>
        <w:separator/>
      </w:r>
    </w:p>
  </w:endnote>
  <w:endnote w:type="continuationSeparator" w:id="0">
    <w:p w14:paraId="7C497A9C" w14:textId="77777777" w:rsidR="00E41BA0" w:rsidRDefault="00E41B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8C5D6" w14:textId="77777777" w:rsidR="00000000" w:rsidRDefault="00000000">
    <w:pPr>
      <w:pStyle w:val="Piedepgina"/>
      <w:tabs>
        <w:tab w:val="clear" w:pos="4680"/>
        <w:tab w:val="clear" w:pos="9360"/>
        <w:tab w:val="right" w:pos="10440"/>
      </w:tabs>
    </w:pPr>
    <w:r>
      <w:rPr>
        <w:b/>
        <w:sz w:val="14"/>
        <w:szCs w:val="14"/>
        <w:lang w:val="en-US"/>
      </w:rPr>
      <w:t>24</w:t>
    </w:r>
    <w:r>
      <w:rPr>
        <w:b/>
        <w:sz w:val="14"/>
        <w:szCs w:val="14"/>
        <w:vertAlign w:val="superscript"/>
        <w:lang w:val="en-US"/>
      </w:rPr>
      <w:t>th</w:t>
    </w:r>
    <w:r>
      <w:rPr>
        <w:b/>
        <w:sz w:val="14"/>
        <w:szCs w:val="14"/>
        <w:lang w:val="en-US"/>
      </w:rPr>
      <w:t xml:space="preserve"> LACCEI International Multi-Conference for Engineering, Education, and Technology: “</w:t>
    </w:r>
    <w:r>
      <w:rPr>
        <w:bCs/>
        <w:i/>
        <w:iCs/>
        <w:sz w:val="14"/>
        <w:szCs w:val="14"/>
        <w:lang w:val="en-US"/>
      </w:rPr>
      <w:t>Engineering without Borders: Artificial Intelligence, Knowledge, Innovation, and Alliances for a Future from the Americas</w:t>
    </w:r>
    <w:r>
      <w:rPr>
        <w:b/>
        <w:sz w:val="14"/>
        <w:szCs w:val="14"/>
        <w:lang w:val="en-US"/>
      </w:rPr>
      <w:t>”</w:t>
    </w:r>
    <w:r>
      <w:rPr>
        <w:bCs/>
        <w:i/>
        <w:iCs/>
        <w:sz w:val="14"/>
        <w:szCs w:val="14"/>
        <w:lang w:val="en-US"/>
      </w:rPr>
      <w:t>.</w:t>
    </w:r>
    <w:r>
      <w:rPr>
        <w:b/>
        <w:sz w:val="14"/>
        <w:szCs w:val="14"/>
        <w:lang w:val="en-US"/>
      </w:rPr>
      <w:t xml:space="preserve"> </w:t>
    </w:r>
    <w:r>
      <w:rPr>
        <w:bCs/>
        <w:sz w:val="14"/>
        <w:szCs w:val="14"/>
      </w:rPr>
      <w:t>Hybrid Event, Santiago-Chile, July 15 - 17, 2026</w:t>
    </w:r>
  </w:p>
  <w:p w14:paraId="1B9A8C8B" w14:textId="77777777" w:rsidR="00000000" w:rsidRDefault="00000000">
    <w:pPr>
      <w:pStyle w:val="Piedepgina"/>
      <w:tabs>
        <w:tab w:val="clear" w:pos="4680"/>
        <w:tab w:val="clear" w:pos="9360"/>
        <w:tab w:val="right" w:pos="10440"/>
      </w:tabs>
      <w:jc w:val="right"/>
    </w:pPr>
    <w:r>
      <w:rPr>
        <w:sz w:val="16"/>
        <w:szCs w:val="16"/>
      </w:rPr>
      <w:fldChar w:fldCharType="begin"/>
    </w:r>
    <w:r>
      <w:rPr>
        <w:sz w:val="16"/>
        <w:szCs w:val="16"/>
      </w:rPr>
      <w:instrText xml:space="preserve"> PAGE </w:instrText>
    </w:r>
    <w:r>
      <w:rPr>
        <w:sz w:val="16"/>
        <w:szCs w:val="16"/>
      </w:rPr>
      <w:fldChar w:fldCharType="separate"/>
    </w:r>
    <w:r>
      <w:rPr>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B7993"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8B843" w14:textId="77777777" w:rsidR="00E41BA0" w:rsidRDefault="00E41BA0">
      <w:r>
        <w:separator/>
      </w:r>
    </w:p>
  </w:footnote>
  <w:footnote w:type="continuationSeparator" w:id="0">
    <w:p w14:paraId="7EF83FB9" w14:textId="77777777" w:rsidR="00E41BA0" w:rsidRDefault="00E41B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3"/>
    <w:multiLevelType w:val="singleLevel"/>
    <w:tmpl w:val="00000003"/>
    <w:name w:val="WW8Num3"/>
    <w:lvl w:ilvl="0">
      <w:start w:val="1"/>
      <w:numFmt w:val="decimal"/>
      <w:lvlText w:val="[%1]"/>
      <w:lvlJc w:val="left"/>
      <w:pPr>
        <w:tabs>
          <w:tab w:val="num" w:pos="360"/>
        </w:tabs>
        <w:ind w:left="360" w:hanging="360"/>
      </w:pPr>
      <w:rPr>
        <w:rFonts w:hint="default"/>
      </w:rPr>
    </w:lvl>
  </w:abstractNum>
  <w:num w:numId="1" w16cid:durableId="651176806">
    <w:abstractNumId w:val="0"/>
  </w:num>
  <w:num w:numId="2" w16cid:durableId="893125906">
    <w:abstractNumId w:val="1"/>
  </w:num>
  <w:num w:numId="3" w16cid:durableId="574585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dit="forms" w:enforcement="1"/>
  <w:defaultTabStop w:val="34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noLineBreaksAfter w:lang="zh-TW" w:val="([{‘“‵〈《「『【〔〝︵︷︹︻︽︿﹁﹃﹙﹛﹝（｛￡￥"/>
  <w:noLineBreaksBefore w:lang="zh-TW" w:val="!),.:;?]}·–—’”‥…‧′╴、。〉》」』】〕〞︰︱︳︴︶︸︺︼︾﹀﹂﹄﹏﹐﹑﹒﹔﹕﹖﹗﹚﹜﹞！），．：；？｜｝￠"/>
  <w:footnotePr>
    <w:footnote w:id="-1"/>
    <w:footnote w:id="0"/>
  </w:footnotePr>
  <w:endnotePr>
    <w:endnote w:id="-1"/>
    <w:endnote w:id="0"/>
  </w:endnotePr>
  <w:compat>
    <w:usePrinterMetric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4C47"/>
    <w:rsid w:val="003E4C47"/>
    <w:rsid w:val="00BC3B6C"/>
    <w:rsid w:val="00E41B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690912"/>
  <w15:chartTrackingRefBased/>
  <w15:docId w15:val="{1124AC2E-6D89-4E67-889C-3EA7A2CF1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overflowPunct w:val="0"/>
      <w:autoSpaceDE w:val="0"/>
      <w:ind w:firstLine="357"/>
      <w:jc w:val="both"/>
      <w:textAlignment w:val="baseline"/>
    </w:pPr>
    <w:rPr>
      <w:rFonts w:ascii="Times" w:eastAsia="PMingLiU" w:hAnsi="Times" w:cs="Times"/>
      <w:lang w:eastAsia="zh-TW"/>
    </w:rPr>
  </w:style>
  <w:style w:type="paragraph" w:styleId="Ttulo1">
    <w:name w:val="heading 1"/>
    <w:basedOn w:val="Normal"/>
    <w:next w:val="DefaultParagraphFont1"/>
    <w:qFormat/>
    <w:pPr>
      <w:numPr>
        <w:numId w:val="2"/>
      </w:numPr>
      <w:snapToGrid w:val="0"/>
      <w:spacing w:before="60" w:after="60"/>
      <w:jc w:val="center"/>
      <w:outlineLvl w:val="0"/>
    </w:pPr>
    <w:rPr>
      <w:rFonts w:ascii="Times New Roman" w:hAnsi="Times New Roman" w:cs="Times New Roman"/>
      <w:smallCaps/>
    </w:rPr>
  </w:style>
  <w:style w:type="paragraph" w:styleId="Ttulo2">
    <w:name w:val="heading 2"/>
    <w:basedOn w:val="Normal"/>
    <w:next w:val="DefaultParagraphFont1"/>
    <w:qFormat/>
    <w:pPr>
      <w:numPr>
        <w:numId w:val="2"/>
      </w:numPr>
      <w:snapToGrid w:val="0"/>
      <w:spacing w:before="120"/>
      <w:ind w:firstLine="357"/>
      <w:outlineLvl w:val="1"/>
    </w:pPr>
    <w:rPr>
      <w:rFonts w:ascii="Times New Roman" w:hAnsi="Times New Roman" w:cs="Times New Roman"/>
      <w:i/>
    </w:rPr>
  </w:style>
  <w:style w:type="paragraph" w:styleId="Ttulo3">
    <w:name w:val="heading 3"/>
    <w:basedOn w:val="DefaultParagraphFont1"/>
    <w:next w:val="DefaultParagraphFont1"/>
    <w:qFormat/>
    <w:pPr>
      <w:numPr>
        <w:numId w:val="2"/>
      </w:numPr>
      <w:spacing w:before="120" w:after="60"/>
      <w:ind w:firstLine="357"/>
      <w:outlineLvl w:val="2"/>
    </w:pPr>
    <w:rPr>
      <w:bCs/>
      <w:i/>
      <w:lang w:val="es-PE"/>
    </w:rPr>
  </w:style>
  <w:style w:type="paragraph" w:styleId="Ttulo4">
    <w:name w:val="heading 4"/>
    <w:basedOn w:val="Normal"/>
    <w:next w:val="Normal"/>
    <w:qFormat/>
    <w:pPr>
      <w:keepNext/>
      <w:numPr>
        <w:numId w:val="2"/>
      </w:numPr>
      <w:spacing w:before="240" w:after="60"/>
      <w:outlineLvl w:val="3"/>
    </w:pPr>
    <w:rPr>
      <w:rFonts w:ascii="Calibri" w:eastAsia="Times New Roman" w:hAnsi="Calibri" w:cs="Times New Roman"/>
      <w:b/>
      <w:bCs/>
      <w:sz w:val="28"/>
      <w:szCs w:val="28"/>
    </w:rPr>
  </w:style>
  <w:style w:type="paragraph" w:styleId="Ttulo5">
    <w:name w:val="heading 5"/>
    <w:basedOn w:val="Normal"/>
    <w:next w:val="Normal"/>
    <w:qFormat/>
    <w:pPr>
      <w:numPr>
        <w:numId w:val="2"/>
      </w:numPr>
      <w:spacing w:before="240" w:after="60"/>
      <w:outlineLvl w:val="4"/>
    </w:pPr>
    <w:rPr>
      <w:rFonts w:ascii="Calibri" w:eastAsia="Times New Roman" w:hAnsi="Calibri" w:cs="Times New Roman"/>
      <w:b/>
      <w:bCs/>
      <w:i/>
      <w:i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3z0">
    <w:name w:val="WW8Num3z0"/>
    <w:rPr>
      <w:rFonts w:hint="default"/>
    </w:rPr>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WW8Num2z0">
    <w:name w:val="WW8Num2z0"/>
    <w:rPr>
      <w:rFonts w:hint="default"/>
    </w:rPr>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2z3">
    <w:name w:val="WW8Num2z3"/>
    <w:rPr>
      <w:rFonts w:ascii="Symbol" w:hAnsi="Symbol" w:cs="Symbol" w:hint="default"/>
    </w:rPr>
  </w:style>
  <w:style w:type="character" w:customStyle="1" w:styleId="Fuentedeprrafopredeter1">
    <w:name w:val="Fuente de párrafo predeter.1"/>
  </w:style>
  <w:style w:type="character" w:customStyle="1" w:styleId="nsfaddress">
    <w:name w:val="nsfaddress"/>
    <w:basedOn w:val="Fuentedeprrafopredeter1"/>
  </w:style>
  <w:style w:type="character" w:styleId="Hipervnculo">
    <w:name w:val="Hyperlink"/>
    <w:rPr>
      <w:color w:val="000000"/>
      <w:u w:val="single"/>
    </w:rPr>
  </w:style>
  <w:style w:type="character" w:styleId="Fuerte">
    <w:name w:val="Strong"/>
    <w:qFormat/>
    <w:rPr>
      <w:b/>
      <w:bCs/>
    </w:rPr>
  </w:style>
  <w:style w:type="character" w:customStyle="1" w:styleId="Caracteresdenotaalpie">
    <w:name w:val="Caracteres de nota al pie"/>
    <w:rPr>
      <w:vertAlign w:val="superscript"/>
    </w:rPr>
  </w:style>
  <w:style w:type="character" w:customStyle="1" w:styleId="IEEEAbtractChar">
    <w:name w:val="IEEE Abtract Char"/>
    <w:rPr>
      <w:b/>
      <w:sz w:val="18"/>
      <w:szCs w:val="24"/>
      <w:lang w:val="en-GB"/>
    </w:rPr>
  </w:style>
  <w:style w:type="character" w:customStyle="1" w:styleId="EncabezadoCar">
    <w:name w:val="Encabezado Car"/>
    <w:rPr>
      <w:rFonts w:ascii="Times" w:eastAsia="PMingLiU" w:hAnsi="Times" w:cs="Times"/>
      <w:lang w:val="en-AU" w:eastAsia="zh-TW"/>
    </w:rPr>
  </w:style>
  <w:style w:type="character" w:customStyle="1" w:styleId="PiedepginaCar">
    <w:name w:val="Pie de página Car"/>
    <w:rPr>
      <w:rFonts w:ascii="Times" w:eastAsia="PMingLiU" w:hAnsi="Times" w:cs="Times"/>
      <w:lang w:val="en-AU" w:eastAsia="zh-TW"/>
    </w:rPr>
  </w:style>
  <w:style w:type="character" w:customStyle="1" w:styleId="TtuloCar">
    <w:name w:val="Título Car"/>
    <w:rPr>
      <w:rFonts w:eastAsia="PMingLiU"/>
      <w:bCs/>
      <w:sz w:val="48"/>
      <w:szCs w:val="48"/>
      <w:lang w:eastAsia="zh-TW"/>
    </w:rPr>
  </w:style>
  <w:style w:type="character" w:customStyle="1" w:styleId="IEEEAuthorNameChar">
    <w:name w:val="IEEE Author Name Char"/>
    <w:rPr>
      <w:rFonts w:eastAsia="Times New Roman"/>
      <w:sz w:val="22"/>
      <w:szCs w:val="24"/>
      <w:lang w:val="en-GB"/>
    </w:rPr>
  </w:style>
  <w:style w:type="character" w:customStyle="1" w:styleId="AuthorsChar">
    <w:name w:val="Authors Char"/>
    <w:basedOn w:val="IEEEAuthorNameChar"/>
    <w:rPr>
      <w:rFonts w:eastAsia="Times New Roman"/>
      <w:sz w:val="22"/>
      <w:szCs w:val="24"/>
      <w:lang w:val="en-GB"/>
    </w:rPr>
  </w:style>
  <w:style w:type="character" w:customStyle="1" w:styleId="IEEEAuthorAffiliationChar">
    <w:name w:val="IEEE Author Affiliation Char"/>
    <w:rPr>
      <w:rFonts w:eastAsia="Times New Roman"/>
      <w:i/>
      <w:szCs w:val="24"/>
      <w:lang w:val="en-GB"/>
    </w:rPr>
  </w:style>
  <w:style w:type="character" w:customStyle="1" w:styleId="InstitutionandEmailChar">
    <w:name w:val="Institution and Email Char"/>
    <w:rPr>
      <w:rFonts w:ascii="Times" w:eastAsia="PMingLiU" w:hAnsi="Times" w:cs="Times"/>
      <w:i/>
      <w:szCs w:val="24"/>
      <w:lang w:val="en-AU" w:eastAsia="zh-TW"/>
    </w:rPr>
  </w:style>
  <w:style w:type="character" w:customStyle="1" w:styleId="AbstractandKeywordsChar">
    <w:name w:val="Abstract and Keywords Char"/>
    <w:rPr>
      <w:rFonts w:ascii="Times" w:eastAsia="PMingLiU" w:hAnsi="Times" w:cs="Times"/>
      <w:b/>
      <w:i/>
      <w:sz w:val="18"/>
      <w:szCs w:val="18"/>
      <w:lang w:val="en-GB" w:eastAsia="zh-TW"/>
    </w:rPr>
  </w:style>
  <w:style w:type="character" w:customStyle="1" w:styleId="TableCaptionChar">
    <w:name w:val="Table Caption Char"/>
    <w:rPr>
      <w:rFonts w:eastAsia="PMingLiU"/>
      <w:sz w:val="16"/>
      <w:szCs w:val="16"/>
      <w:lang w:eastAsia="zh-TW"/>
    </w:rPr>
  </w:style>
  <w:style w:type="character" w:customStyle="1" w:styleId="Refdecomentario1">
    <w:name w:val="Ref. de comentario1"/>
    <w:rPr>
      <w:sz w:val="16"/>
      <w:szCs w:val="16"/>
    </w:rPr>
  </w:style>
  <w:style w:type="character" w:customStyle="1" w:styleId="ReferenceentryChar">
    <w:name w:val="Reference entry Char"/>
    <w:rPr>
      <w:sz w:val="16"/>
      <w:szCs w:val="16"/>
      <w:lang w:eastAsia="zh-CN"/>
    </w:rPr>
  </w:style>
  <w:style w:type="character" w:customStyle="1" w:styleId="TextocomentarioCar">
    <w:name w:val="Texto comentario Car"/>
    <w:rPr>
      <w:rFonts w:ascii="Times" w:eastAsia="PMingLiU" w:hAnsi="Times" w:cs="Times"/>
      <w:lang w:val="en-AU" w:eastAsia="zh-TW"/>
    </w:rPr>
  </w:style>
  <w:style w:type="character" w:customStyle="1" w:styleId="AsuntodelcomentarioCar">
    <w:name w:val="Asunto del comentario Car"/>
    <w:rPr>
      <w:rFonts w:ascii="Times" w:eastAsia="PMingLiU" w:hAnsi="Times" w:cs="Times"/>
      <w:b/>
      <w:bCs/>
      <w:lang w:val="en-AU" w:eastAsia="zh-TW"/>
    </w:rPr>
  </w:style>
  <w:style w:type="character" w:customStyle="1" w:styleId="FigureCaptionChar">
    <w:name w:val="Figure Caption Char"/>
    <w:rPr>
      <w:rFonts w:eastAsia="Times New Roman"/>
      <w:bCs/>
      <w:sz w:val="16"/>
      <w:szCs w:val="16"/>
      <w:lang w:val="en-US" w:eastAsia="es-PE"/>
    </w:rPr>
  </w:style>
  <w:style w:type="character" w:customStyle="1" w:styleId="Ttulo4Car">
    <w:name w:val="Título 4 Car"/>
    <w:rPr>
      <w:rFonts w:ascii="Calibri" w:eastAsia="Times New Roman" w:hAnsi="Calibri" w:cs="Times New Roman"/>
      <w:b/>
      <w:bCs/>
      <w:sz w:val="28"/>
      <w:szCs w:val="28"/>
      <w:lang w:val="en-AU" w:eastAsia="zh-TW"/>
    </w:rPr>
  </w:style>
  <w:style w:type="character" w:customStyle="1" w:styleId="Ttulo5Car">
    <w:name w:val="Título 5 Car"/>
    <w:rPr>
      <w:rFonts w:ascii="Calibri" w:eastAsia="Times New Roman" w:hAnsi="Calibri" w:cs="Times New Roman"/>
      <w:b/>
      <w:bCs/>
      <w:i/>
      <w:iCs/>
      <w:sz w:val="26"/>
      <w:szCs w:val="26"/>
      <w:lang w:val="en-AU" w:eastAsia="zh-TW"/>
    </w:rPr>
  </w:style>
  <w:style w:type="character" w:styleId="Mencinsinresolver">
    <w:name w:val="Unresolved Mention"/>
    <w:rPr>
      <w:color w:val="605E5C"/>
      <w:shd w:val="clear" w:color="auto" w:fill="E1DFDD"/>
    </w:rPr>
  </w:style>
  <w:style w:type="character" w:customStyle="1" w:styleId="TextosinformatoCar">
    <w:name w:val="Texto sin formato Car"/>
    <w:rPr>
      <w:rFonts w:ascii="Consolas" w:eastAsia="Aptos" w:hAnsi="Consolas" w:cs="Consolas"/>
      <w:kern w:val="2"/>
      <w:sz w:val="21"/>
      <w:szCs w:val="21"/>
    </w:rPr>
  </w:style>
  <w:style w:type="character" w:customStyle="1" w:styleId="NoteTableCar">
    <w:name w:val="Note Table Car"/>
    <w:rPr>
      <w:rFonts w:ascii="Times" w:eastAsia="PMingLiU" w:hAnsi="Times" w:cs="Times"/>
      <w:i/>
      <w:iCs/>
      <w:sz w:val="16"/>
      <w:lang w:eastAsia="zh-TW"/>
    </w:rPr>
  </w:style>
  <w:style w:type="character" w:customStyle="1" w:styleId="TablecaptionCar">
    <w:name w:val="Table caption Car"/>
    <w:rPr>
      <w:rFonts w:ascii="Times" w:eastAsia="PMingLiU" w:hAnsi="Times" w:cs="Times"/>
      <w:bCs/>
      <w:smallCaps/>
      <w:sz w:val="16"/>
      <w:lang w:eastAsia="zh-TW"/>
    </w:rPr>
  </w:style>
  <w:style w:type="character" w:customStyle="1" w:styleId="Variable">
    <w:name w:val="Variable"/>
    <w:rPr>
      <w:rFonts w:ascii="Consolas" w:hAnsi="Consolas" w:cs="Consolas"/>
      <w:sz w:val="16"/>
    </w:rPr>
  </w:style>
  <w:style w:type="character" w:customStyle="1" w:styleId="DefaultParagraphFont1Car">
    <w:name w:val="Default Paragraph Font1 Car"/>
    <w:rPr>
      <w:rFonts w:ascii="Times" w:eastAsia="PMingLiU" w:hAnsi="Times" w:cs="Times"/>
      <w:lang w:val="en-US" w:eastAsia="zh-TW"/>
    </w:rPr>
  </w:style>
  <w:style w:type="character" w:customStyle="1" w:styleId="Ttulo3Car">
    <w:name w:val="Título 3 Car"/>
    <w:rPr>
      <w:rFonts w:ascii="Times" w:eastAsia="PMingLiU" w:hAnsi="Times" w:cs="Times"/>
      <w:bCs/>
      <w:i/>
      <w:lang w:val="en-US" w:eastAsia="zh-TW"/>
    </w:rPr>
  </w:style>
  <w:style w:type="character" w:customStyle="1" w:styleId="NotatablaCar">
    <w:name w:val="Nota tabla Car"/>
    <w:rPr>
      <w:rFonts w:ascii="Times" w:eastAsia="PMingLiU" w:hAnsi="Times" w:cs="Times"/>
      <w:bCs/>
      <w:i/>
      <w:sz w:val="16"/>
      <w:lang w:val="en-US" w:eastAsia="zh-TW"/>
    </w:rPr>
  </w:style>
  <w:style w:type="character" w:styleId="nfasis">
    <w:name w:val="Emphasis"/>
    <w:qFormat/>
    <w:rPr>
      <w:i/>
      <w:iCs/>
    </w:rPr>
  </w:style>
  <w:style w:type="paragraph" w:customStyle="1" w:styleId="Ttulo7">
    <w:name w:val="Título7"/>
    <w:basedOn w:val="Normal"/>
    <w:next w:val="Textoindependiente"/>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sz w:val="24"/>
      <w:szCs w:val="24"/>
    </w:rPr>
  </w:style>
  <w:style w:type="paragraph" w:customStyle="1" w:styleId="ndice">
    <w:name w:val="Índice"/>
    <w:basedOn w:val="Normal"/>
    <w:pPr>
      <w:suppressLineNumbers/>
    </w:pPr>
    <w:rPr>
      <w:rFonts w:cs="Lucida Sans"/>
    </w:rPr>
  </w:style>
  <w:style w:type="paragraph" w:customStyle="1" w:styleId="DefaultParagraphFont1">
    <w:name w:val="Default Paragraph Font1"/>
    <w:next w:val="Normal"/>
    <w:pPr>
      <w:suppressAutoHyphens/>
      <w:overflowPunct w:val="0"/>
      <w:autoSpaceDE w:val="0"/>
      <w:textAlignment w:val="baseline"/>
    </w:pPr>
    <w:rPr>
      <w:rFonts w:ascii="Times" w:eastAsia="PMingLiU" w:hAnsi="Times" w:cs="Times"/>
      <w:lang w:val="en-US" w:eastAsia="zh-TW"/>
    </w:rPr>
  </w:style>
  <w:style w:type="paragraph" w:customStyle="1" w:styleId="caption1">
    <w:name w:val="caption1"/>
    <w:basedOn w:val="Normal"/>
    <w:pPr>
      <w:suppressLineNumbers/>
      <w:spacing w:before="120" w:after="120"/>
    </w:pPr>
    <w:rPr>
      <w:rFonts w:cs="Lucida Sans"/>
      <w:i/>
      <w:iCs/>
      <w:sz w:val="24"/>
      <w:szCs w:val="24"/>
    </w:rPr>
  </w:style>
  <w:style w:type="paragraph" w:customStyle="1" w:styleId="caption11">
    <w:name w:val="caption11"/>
    <w:basedOn w:val="Normal"/>
    <w:pPr>
      <w:suppressLineNumbers/>
      <w:spacing w:before="120" w:after="120"/>
    </w:pPr>
    <w:rPr>
      <w:rFonts w:cs="Lucida Sans"/>
      <w:i/>
      <w:iCs/>
      <w:sz w:val="24"/>
      <w:szCs w:val="24"/>
    </w:rPr>
  </w:style>
  <w:style w:type="paragraph" w:customStyle="1" w:styleId="Ttulo6">
    <w:name w:val="Título6"/>
    <w:basedOn w:val="Normal"/>
    <w:next w:val="Textoindependiente"/>
    <w:pPr>
      <w:keepNext/>
      <w:spacing w:before="240" w:after="120"/>
    </w:pPr>
    <w:rPr>
      <w:rFonts w:ascii="Liberation Sans" w:eastAsia="Microsoft YaHei" w:hAnsi="Liberation Sans" w:cs="Lucida Sans"/>
      <w:sz w:val="28"/>
      <w:szCs w:val="28"/>
    </w:rPr>
  </w:style>
  <w:style w:type="paragraph" w:customStyle="1" w:styleId="Descripcin6">
    <w:name w:val="Descripción6"/>
    <w:basedOn w:val="Normal"/>
    <w:pPr>
      <w:suppressLineNumbers/>
      <w:spacing w:before="120" w:after="120"/>
    </w:pPr>
    <w:rPr>
      <w:rFonts w:cs="Lucida Sans"/>
      <w:i/>
      <w:iCs/>
      <w:sz w:val="24"/>
      <w:szCs w:val="24"/>
    </w:rPr>
  </w:style>
  <w:style w:type="paragraph" w:customStyle="1" w:styleId="Ttulo50">
    <w:name w:val="Título5"/>
    <w:basedOn w:val="Normal"/>
    <w:next w:val="Textoindependiente"/>
    <w:pPr>
      <w:keepNext/>
      <w:spacing w:before="240" w:after="120"/>
    </w:pPr>
    <w:rPr>
      <w:rFonts w:ascii="Liberation Sans" w:eastAsia="Microsoft YaHei" w:hAnsi="Liberation Sans" w:cs="Lucida Sans"/>
      <w:sz w:val="28"/>
      <w:szCs w:val="28"/>
    </w:rPr>
  </w:style>
  <w:style w:type="paragraph" w:customStyle="1" w:styleId="Descripcin5">
    <w:name w:val="Descripción5"/>
    <w:basedOn w:val="Normal"/>
    <w:pPr>
      <w:suppressLineNumbers/>
      <w:spacing w:before="120" w:after="120"/>
    </w:pPr>
    <w:rPr>
      <w:rFonts w:cs="Lucida Sans"/>
      <w:i/>
      <w:iCs/>
      <w:sz w:val="24"/>
      <w:szCs w:val="24"/>
    </w:rPr>
  </w:style>
  <w:style w:type="paragraph" w:customStyle="1" w:styleId="Ttulo40">
    <w:name w:val="Título4"/>
    <w:basedOn w:val="Normal"/>
    <w:next w:val="Textoindependiente"/>
    <w:pPr>
      <w:keepNext/>
      <w:spacing w:before="240" w:after="120"/>
    </w:pPr>
    <w:rPr>
      <w:rFonts w:ascii="Liberation Sans" w:eastAsia="Microsoft YaHei" w:hAnsi="Liberation Sans" w:cs="Lucida Sans"/>
      <w:sz w:val="28"/>
      <w:szCs w:val="28"/>
    </w:rPr>
  </w:style>
  <w:style w:type="paragraph" w:customStyle="1" w:styleId="Descripcin4">
    <w:name w:val="Descripción4"/>
    <w:basedOn w:val="Normal"/>
    <w:pPr>
      <w:suppressLineNumbers/>
      <w:spacing w:before="120" w:after="120"/>
    </w:pPr>
    <w:rPr>
      <w:rFonts w:cs="Lucida Sans"/>
      <w:i/>
      <w:iCs/>
      <w:sz w:val="24"/>
      <w:szCs w:val="24"/>
    </w:rPr>
  </w:style>
  <w:style w:type="paragraph" w:customStyle="1" w:styleId="Ttulo30">
    <w:name w:val="Título3"/>
    <w:basedOn w:val="Normal"/>
    <w:next w:val="Textoindependiente"/>
    <w:pPr>
      <w:keepNext/>
      <w:spacing w:before="240" w:after="120"/>
    </w:pPr>
    <w:rPr>
      <w:rFonts w:ascii="Liberation Sans" w:eastAsia="Microsoft YaHei" w:hAnsi="Liberation Sans" w:cs="Lucida Sans"/>
      <w:sz w:val="28"/>
      <w:szCs w:val="28"/>
    </w:rPr>
  </w:style>
  <w:style w:type="paragraph" w:customStyle="1" w:styleId="Descripcin3">
    <w:name w:val="Descripción3"/>
    <w:basedOn w:val="Normal"/>
    <w:pPr>
      <w:suppressLineNumbers/>
      <w:spacing w:before="120" w:after="120"/>
    </w:pPr>
    <w:rPr>
      <w:rFonts w:cs="Lucida Sans"/>
      <w:i/>
      <w:iCs/>
      <w:sz w:val="24"/>
      <w:szCs w:val="24"/>
    </w:rPr>
  </w:style>
  <w:style w:type="paragraph" w:customStyle="1" w:styleId="Ttulo20">
    <w:name w:val="Título2"/>
    <w:basedOn w:val="Normal"/>
    <w:next w:val="Textoindependiente"/>
    <w:pPr>
      <w:keepNext/>
      <w:spacing w:before="240" w:after="120"/>
    </w:pPr>
    <w:rPr>
      <w:rFonts w:ascii="Liberation Sans" w:eastAsia="Microsoft YaHei" w:hAnsi="Liberation Sans" w:cs="Lucida Sans"/>
      <w:sz w:val="28"/>
      <w:szCs w:val="28"/>
    </w:rPr>
  </w:style>
  <w:style w:type="paragraph" w:customStyle="1" w:styleId="Descripcin2">
    <w:name w:val="Descripción2"/>
    <w:basedOn w:val="Normal"/>
    <w:pPr>
      <w:suppressLineNumbers/>
      <w:spacing w:before="120" w:after="120"/>
    </w:pPr>
    <w:rPr>
      <w:rFonts w:cs="Lucida Sans"/>
      <w:i/>
      <w:iCs/>
      <w:sz w:val="24"/>
      <w:szCs w:val="24"/>
    </w:rPr>
  </w:style>
  <w:style w:type="paragraph" w:customStyle="1" w:styleId="Ttulo10">
    <w:name w:val="Título1"/>
    <w:basedOn w:val="DefaultParagraphFont1"/>
    <w:next w:val="Normal"/>
    <w:pPr>
      <w:jc w:val="center"/>
    </w:pPr>
    <w:rPr>
      <w:rFonts w:ascii="Times New Roman" w:hAnsi="Times New Roman" w:cs="Times New Roman"/>
      <w:bCs/>
      <w:sz w:val="48"/>
      <w:szCs w:val="48"/>
    </w:rPr>
  </w:style>
  <w:style w:type="paragraph" w:customStyle="1" w:styleId="Descripcin1">
    <w:name w:val="Descripción1"/>
    <w:basedOn w:val="Normal"/>
    <w:pPr>
      <w:suppressLineNumbers/>
      <w:spacing w:before="120" w:after="120"/>
    </w:pPr>
    <w:rPr>
      <w:rFonts w:cs="Lucida Sans"/>
      <w:i/>
      <w:iCs/>
      <w:sz w:val="24"/>
      <w:szCs w:val="24"/>
    </w:rPr>
  </w:style>
  <w:style w:type="paragraph" w:customStyle="1" w:styleId="Sangranormal1">
    <w:name w:val="Sangría normal1"/>
    <w:basedOn w:val="Normal"/>
    <w:pPr>
      <w:ind w:left="720"/>
    </w:pPr>
  </w:style>
  <w:style w:type="paragraph" w:styleId="Textonotapie">
    <w:name w:val="footnote text"/>
    <w:basedOn w:val="Normal"/>
  </w:style>
  <w:style w:type="paragraph" w:styleId="Textodeglobo">
    <w:name w:val="Balloon Text"/>
    <w:basedOn w:val="Normal"/>
    <w:rPr>
      <w:rFonts w:ascii="Arial" w:hAnsi="Arial" w:cs="Times New Roman"/>
      <w:sz w:val="16"/>
      <w:szCs w:val="16"/>
    </w:rPr>
  </w:style>
  <w:style w:type="paragraph" w:customStyle="1" w:styleId="IEEEAuthorName">
    <w:name w:val="IEEE Author Name"/>
    <w:basedOn w:val="Normal"/>
    <w:next w:val="Normal"/>
    <w:pPr>
      <w:overflowPunct/>
      <w:autoSpaceDE/>
      <w:snapToGrid w:val="0"/>
      <w:spacing w:before="120" w:after="120"/>
      <w:jc w:val="center"/>
      <w:textAlignment w:val="auto"/>
    </w:pPr>
    <w:rPr>
      <w:rFonts w:ascii="Times New Roman" w:eastAsia="Times New Roman" w:hAnsi="Times New Roman" w:cs="Times New Roman"/>
      <w:sz w:val="22"/>
      <w:szCs w:val="24"/>
      <w:lang w:val="en-GB"/>
    </w:rPr>
  </w:style>
  <w:style w:type="paragraph" w:customStyle="1" w:styleId="IEEEAuthorAffiliation">
    <w:name w:val="IEEE Author Affiliation"/>
    <w:basedOn w:val="Normal"/>
    <w:next w:val="Normal"/>
    <w:pPr>
      <w:overflowPunct/>
      <w:autoSpaceDE/>
      <w:spacing w:after="60"/>
      <w:jc w:val="center"/>
      <w:textAlignment w:val="auto"/>
    </w:pPr>
    <w:rPr>
      <w:rFonts w:ascii="Times New Roman" w:eastAsia="Times New Roman" w:hAnsi="Times New Roman" w:cs="Times New Roman"/>
      <w:i/>
      <w:szCs w:val="24"/>
      <w:lang w:val="en-GB"/>
    </w:rPr>
  </w:style>
  <w:style w:type="paragraph" w:customStyle="1" w:styleId="IEEEAbtract">
    <w:name w:val="IEEE Abtract"/>
    <w:basedOn w:val="Normal"/>
    <w:next w:val="Normal"/>
    <w:pPr>
      <w:overflowPunct/>
      <w:autoSpaceDE/>
      <w:snapToGrid w:val="0"/>
      <w:textAlignment w:val="auto"/>
    </w:pPr>
    <w:rPr>
      <w:rFonts w:ascii="Times New Roman" w:eastAsia="SimSun" w:hAnsi="Times New Roman" w:cs="Times New Roman"/>
      <w:b/>
      <w:sz w:val="18"/>
      <w:szCs w:val="24"/>
      <w:lang w:val="en-GB"/>
    </w:rPr>
  </w:style>
  <w:style w:type="paragraph" w:customStyle="1" w:styleId="Cabeceraypie">
    <w:name w:val="Cabecera y pie"/>
    <w:basedOn w:val="Normal"/>
    <w:pPr>
      <w:suppressLineNumbers/>
      <w:tabs>
        <w:tab w:val="center" w:pos="4819"/>
        <w:tab w:val="right" w:pos="9638"/>
      </w:tabs>
    </w:pPr>
  </w:style>
  <w:style w:type="paragraph" w:styleId="Encabezado">
    <w:name w:val="header"/>
    <w:basedOn w:val="Normal"/>
    <w:pPr>
      <w:tabs>
        <w:tab w:val="center" w:pos="4680"/>
        <w:tab w:val="right" w:pos="9360"/>
      </w:tabs>
    </w:pPr>
  </w:style>
  <w:style w:type="paragraph" w:styleId="Piedepgina">
    <w:name w:val="footer"/>
    <w:basedOn w:val="Normal"/>
    <w:pPr>
      <w:tabs>
        <w:tab w:val="center" w:pos="4680"/>
        <w:tab w:val="right" w:pos="9360"/>
      </w:tabs>
    </w:pPr>
  </w:style>
  <w:style w:type="paragraph" w:customStyle="1" w:styleId="Authors">
    <w:name w:val="Authors"/>
    <w:basedOn w:val="IEEEAuthorName"/>
    <w:pPr>
      <w:tabs>
        <w:tab w:val="center" w:pos="5400"/>
      </w:tabs>
      <w:spacing w:before="0" w:after="0"/>
    </w:pPr>
  </w:style>
  <w:style w:type="paragraph" w:customStyle="1" w:styleId="InstitutionandEmail">
    <w:name w:val="Institution and Email"/>
    <w:basedOn w:val="Normal"/>
    <w:pPr>
      <w:tabs>
        <w:tab w:val="center" w:pos="5400"/>
      </w:tabs>
    </w:pPr>
    <w:rPr>
      <w:i/>
    </w:rPr>
  </w:style>
  <w:style w:type="paragraph" w:customStyle="1" w:styleId="AbstractandKeywords">
    <w:name w:val="Abstract and Keywords"/>
    <w:basedOn w:val="IEEEAbtract"/>
    <w:next w:val="Ttulo1"/>
    <w:pPr>
      <w:ind w:firstLine="360"/>
    </w:pPr>
    <w:rPr>
      <w:rFonts w:ascii="Times" w:eastAsia="PMingLiU" w:hAnsi="Times" w:cs="Times"/>
      <w:i/>
      <w:szCs w:val="18"/>
      <w:lang w:val="en-US"/>
    </w:rPr>
  </w:style>
  <w:style w:type="paragraph" w:customStyle="1" w:styleId="TableCaption">
    <w:name w:val="Table Caption"/>
    <w:basedOn w:val="Normal"/>
    <w:pPr>
      <w:tabs>
        <w:tab w:val="left" w:pos="360"/>
      </w:tabs>
      <w:snapToGrid w:val="0"/>
      <w:ind w:firstLine="360"/>
      <w:jc w:val="center"/>
    </w:pPr>
    <w:rPr>
      <w:rFonts w:ascii="Times New Roman" w:hAnsi="Times New Roman" w:cs="Times New Roman"/>
      <w:sz w:val="16"/>
      <w:szCs w:val="16"/>
      <w:lang w:val="en-US"/>
    </w:rPr>
  </w:style>
  <w:style w:type="paragraph" w:customStyle="1" w:styleId="Referenceentry">
    <w:name w:val="Reference entry"/>
    <w:basedOn w:val="Normal"/>
    <w:pPr>
      <w:numPr>
        <w:numId w:val="3"/>
      </w:numPr>
      <w:tabs>
        <w:tab w:val="left" w:pos="270"/>
      </w:tabs>
      <w:snapToGrid w:val="0"/>
      <w:ind w:left="270" w:hanging="270"/>
    </w:pPr>
    <w:rPr>
      <w:rFonts w:ascii="Times New Roman" w:eastAsia="SimSun" w:hAnsi="Times New Roman" w:cs="Times New Roman"/>
      <w:sz w:val="16"/>
      <w:szCs w:val="16"/>
      <w:lang w:val="en-US" w:eastAsia="zh-CN"/>
    </w:rPr>
  </w:style>
  <w:style w:type="paragraph" w:customStyle="1" w:styleId="Textocomentario1">
    <w:name w:val="Texto comentario1"/>
    <w:basedOn w:val="Normal"/>
  </w:style>
  <w:style w:type="paragraph" w:styleId="Asuntodelcomentario">
    <w:name w:val="annotation subject"/>
    <w:basedOn w:val="Textocomentario1"/>
    <w:next w:val="Textocomentario1"/>
    <w:rPr>
      <w:b/>
      <w:bCs/>
    </w:rPr>
  </w:style>
  <w:style w:type="paragraph" w:customStyle="1" w:styleId="Text">
    <w:name w:val="Text"/>
    <w:basedOn w:val="Normal"/>
    <w:pPr>
      <w:widowControl w:val="0"/>
      <w:overflowPunct/>
      <w:autoSpaceDE/>
      <w:spacing w:line="252" w:lineRule="auto"/>
      <w:ind w:firstLine="202"/>
      <w:textAlignment w:val="auto"/>
    </w:pPr>
    <w:rPr>
      <w:rFonts w:ascii="Times New Roman" w:eastAsia="Times New Roman" w:hAnsi="Times New Roman" w:cs="Times New Roman"/>
      <w:lang w:val="en-US"/>
    </w:rPr>
  </w:style>
  <w:style w:type="paragraph" w:customStyle="1" w:styleId="FigureCaption">
    <w:name w:val="Figure Caption"/>
    <w:basedOn w:val="Normal"/>
    <w:pPr>
      <w:overflowPunct/>
      <w:autoSpaceDE/>
      <w:spacing w:before="120" w:after="120"/>
      <w:ind w:firstLine="0"/>
      <w:jc w:val="center"/>
      <w:textAlignment w:val="auto"/>
    </w:pPr>
    <w:rPr>
      <w:rFonts w:ascii="Times New Roman" w:eastAsia="Times New Roman" w:hAnsi="Times New Roman" w:cs="Times New Roman"/>
      <w:bCs/>
      <w:sz w:val="16"/>
      <w:szCs w:val="16"/>
      <w:lang w:val="en-US" w:eastAsia="es-PE"/>
    </w:rPr>
  </w:style>
  <w:style w:type="paragraph" w:styleId="Bibliografa">
    <w:name w:val="Bibliography"/>
    <w:basedOn w:val="Normal"/>
    <w:next w:val="Normal"/>
    <w:pPr>
      <w:tabs>
        <w:tab w:val="left" w:pos="384"/>
      </w:tabs>
      <w:ind w:left="384" w:hanging="384"/>
    </w:pPr>
  </w:style>
  <w:style w:type="paragraph" w:customStyle="1" w:styleId="Textosinformato1">
    <w:name w:val="Texto sin formato1"/>
    <w:basedOn w:val="Normal"/>
    <w:pPr>
      <w:overflowPunct/>
      <w:autoSpaceDE/>
      <w:textAlignment w:val="auto"/>
    </w:pPr>
    <w:rPr>
      <w:rFonts w:ascii="Consolas" w:eastAsia="Aptos" w:hAnsi="Consolas" w:cs="Times New Roman"/>
      <w:kern w:val="2"/>
      <w:sz w:val="21"/>
      <w:szCs w:val="21"/>
    </w:rPr>
  </w:style>
  <w:style w:type="paragraph" w:customStyle="1" w:styleId="NoteTable">
    <w:name w:val="Note Table"/>
    <w:basedOn w:val="Normal"/>
    <w:pPr>
      <w:spacing w:before="120" w:after="120"/>
      <w:ind w:firstLine="0"/>
    </w:pPr>
    <w:rPr>
      <w:i/>
      <w:iCs/>
      <w:sz w:val="16"/>
    </w:rPr>
  </w:style>
  <w:style w:type="paragraph" w:customStyle="1" w:styleId="Tablecaption1">
    <w:name w:val="Table caption1"/>
    <w:basedOn w:val="Normal"/>
    <w:pPr>
      <w:spacing w:before="120" w:after="120"/>
      <w:ind w:firstLine="0"/>
      <w:jc w:val="center"/>
    </w:pPr>
    <w:rPr>
      <w:bCs/>
      <w:smallCaps/>
      <w:sz w:val="16"/>
    </w:rPr>
  </w:style>
  <w:style w:type="paragraph" w:styleId="Sinespaciado">
    <w:name w:val="No Spacing"/>
    <w:qFormat/>
    <w:pPr>
      <w:suppressAutoHyphens/>
      <w:overflowPunct w:val="0"/>
      <w:autoSpaceDE w:val="0"/>
      <w:ind w:firstLine="357"/>
      <w:jc w:val="both"/>
      <w:textAlignment w:val="baseline"/>
    </w:pPr>
    <w:rPr>
      <w:rFonts w:ascii="Times" w:eastAsia="PMingLiU" w:hAnsi="Times" w:cs="Times"/>
      <w:lang w:eastAsia="zh-TW"/>
    </w:rPr>
  </w:style>
  <w:style w:type="paragraph" w:styleId="NormalWeb">
    <w:name w:val="Normal (Web)"/>
    <w:basedOn w:val="Normal"/>
    <w:rPr>
      <w:rFonts w:ascii="Times New Roman" w:hAnsi="Times New Roman" w:cs="Times New Roman"/>
      <w:sz w:val="24"/>
      <w:szCs w:val="24"/>
    </w:rPr>
  </w:style>
  <w:style w:type="paragraph" w:customStyle="1" w:styleId="Contenidodelatabla">
    <w:name w:val="Contenido de la tabla"/>
    <w:basedOn w:val="Normal"/>
    <w:pPr>
      <w:widowControl w:val="0"/>
      <w:suppressLineNumbers/>
    </w:pPr>
  </w:style>
  <w:style w:type="paragraph" w:customStyle="1" w:styleId="Ttulodelatabla">
    <w:name w:val="Título de la tabla"/>
    <w:basedOn w:val="Contenidodelatabla"/>
    <w:pPr>
      <w:jc w:val="center"/>
    </w:pPr>
    <w:rPr>
      <w:b/>
      <w:bCs/>
    </w:rPr>
  </w:style>
  <w:style w:type="paragraph" w:customStyle="1" w:styleId="Notatabla">
    <w:name w:val="Nota tabla"/>
    <w:basedOn w:val="Ttulo3"/>
    <w:pPr>
      <w:ind w:firstLine="0"/>
      <w:jc w:val="both"/>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targetScreenSz w:val="1152x882"/>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3.png"/><Relationship Id="rId21" Type="http://schemas.openxmlformats.org/officeDocument/2006/relationships/image" Target="media/image9.png"/><Relationship Id="rId34" Type="http://schemas.openxmlformats.org/officeDocument/2006/relationships/hyperlink" Target="ca://s?q=Costo_asumido_por_FP" TargetMode="External"/><Relationship Id="rId7" Type="http://schemas.openxmlformats.org/officeDocument/2006/relationships/hyperlink" Target="https://orcid.org/0009-0002-5382-1390" TargetMode="Externa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hyperlink" Target="ca://s?q=Costo_asumido_por_FN"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ca://s?q=Falsos_negativos_F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D:\papers\research\C15-202610-fiscal\papers\drafts\152048@senati.pe" TargetMode="External"/><Relationship Id="rId24" Type="http://schemas.openxmlformats.org/officeDocument/2006/relationships/image" Target="media/image11.png"/><Relationship Id="rId32" Type="http://schemas.openxmlformats.org/officeDocument/2006/relationships/hyperlink" Target="ca://s?q=Verdaderos_negativos_T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ca://s?q=Razon_de_costos_FN_FP" TargetMode="External"/><Relationship Id="rId10" Type="http://schemas.openxmlformats.org/officeDocument/2006/relationships/hyperlink" Target="mailto:mevangelistag@senati.pe" TargetMode="External"/><Relationship Id="rId19" Type="http://schemas.openxmlformats.org/officeDocument/2006/relationships/image" Target="media/image7.png"/><Relationship Id="rId31" Type="http://schemas.openxmlformats.org/officeDocument/2006/relationships/hyperlink" Target="ca://s?q=Verdaderos_positivos_TP" TargetMode="External"/><Relationship Id="rId4" Type="http://schemas.openxmlformats.org/officeDocument/2006/relationships/webSettings" Target="webSettings.xml"/><Relationship Id="rId9" Type="http://schemas.openxmlformats.org/officeDocument/2006/relationships/hyperlink" Target="https://orcid.org/0009-0005-6789-076X" TargetMode="External"/><Relationship Id="rId14" Type="http://schemas.openxmlformats.org/officeDocument/2006/relationships/image" Target="media/image2.png"/><Relationship Id="rId22" Type="http://schemas.openxmlformats.org/officeDocument/2006/relationships/hyperlink" Target="ca://s?q=Analisis_PCA_tSNE_UMAP_KMeans_DBSCAN_Agglomerative_Outliers" TargetMode="External"/><Relationship Id="rId27" Type="http://schemas.openxmlformats.org/officeDocument/2006/relationships/image" Target="media/image14.png"/><Relationship Id="rId30" Type="http://schemas.openxmlformats.org/officeDocument/2006/relationships/hyperlink" Target="ca://s?q=Falsos_positivos_FP" TargetMode="External"/><Relationship Id="rId35" Type="http://schemas.openxmlformats.org/officeDocument/2006/relationships/hyperlink" Target="ca://s?q=Perdida_estimada_test_2025"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16312</Words>
  <Characters>89719</Characters>
  <Application>Microsoft Office Word</Application>
  <DocSecurity>0</DocSecurity>
  <Lines>747</Lines>
  <Paragraphs>211</Paragraphs>
  <ScaleCrop>false</ScaleCrop>
  <Company/>
  <LinksUpToDate>false</LinksUpToDate>
  <CharactersWithSpaces>105820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Conference Paper Template</dc:title>
  <dc:subject/>
  <dc:creator>Max</dc:creator>
  <cp:keywords/>
  <cp:lastModifiedBy>MOISES EVANGELISTA GAMARRA</cp:lastModifiedBy>
  <cp:revision>2</cp:revision>
  <cp:lastPrinted>2026-07-16T19:56:00Z</cp:lastPrinted>
  <dcterms:created xsi:type="dcterms:W3CDTF">2026-08-24T19:47:00Z</dcterms:created>
  <dcterms:modified xsi:type="dcterms:W3CDTF">2026-08-24T19:47:00Z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id="Qkc0BaSd"/&gt;&lt;style id="http://www.zotero.org/styles/ieee" locale="es-MX"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