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0FC1" w14:textId="77777777" w:rsidR="004F01D1" w:rsidRDefault="00000000">
      <w:pPr>
        <w:pStyle w:val="DefaultParagraphFont1"/>
        <w:spacing w:after="240"/>
        <w:jc w:val="center"/>
        <w:rPr>
          <w:rFonts w:ascii="Times New Roman" w:hAnsi="Times New Roman" w:cs="Times New Roman"/>
          <w:bCs/>
          <w:sz w:val="40"/>
          <w:szCs w:val="40"/>
        </w:rPr>
      </w:pPr>
      <w:r>
        <w:rPr>
          <w:rFonts w:ascii="Times New Roman" w:hAnsi="Times New Roman" w:cs="Times New Roman"/>
          <w:bCs/>
          <w:sz w:val="40"/>
          <w:szCs w:val="40"/>
        </w:rPr>
        <w:t>Temporal Validation of Low Birth Weight Classification in a National Peruvian Birth Registry (2015–2025)</w:t>
      </w:r>
    </w:p>
    <w:p w14:paraId="74F038CD" w14:textId="22398C05" w:rsidR="004F01D1" w:rsidRPr="00242749" w:rsidRDefault="00000000">
      <w:pPr>
        <w:pStyle w:val="Authors"/>
        <w:ind w:firstLine="0"/>
        <w:rPr>
          <w:lang w:val="es-PE"/>
        </w:rPr>
      </w:pPr>
      <w:r w:rsidRPr="00242749">
        <w:rPr>
          <w:rFonts w:ascii="Times" w:hAnsi="Times" w:cs="Times"/>
          <w:lang w:val="es-PE"/>
        </w:rPr>
        <w:t>Moisés Evangelista Gamarra</w:t>
      </w:r>
      <w:r w:rsidRPr="00242749">
        <w:rPr>
          <w:rFonts w:ascii="Times" w:hAnsi="Times" w:cs="Times"/>
          <w:vertAlign w:val="superscript"/>
          <w:lang w:val="es-PE"/>
        </w:rPr>
        <w:t>1</w:t>
      </w:r>
      <w:r>
        <w:rPr>
          <w:noProof/>
        </w:rPr>
        <w:drawing>
          <wp:inline distT="0" distB="0" distL="0" distR="0" wp14:anchorId="2788C4AE" wp14:editId="44EE168F">
            <wp:extent cx="92710" cy="92710"/>
            <wp:effectExtent l="0" t="0" r="0" b="0"/>
            <wp:docPr id="1" name="Imagen 4" descr="ORCID identifier icon" title="ORCID identifier ic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a:hlinkClick r:id="rId8"/>
                    </pic:cNvPr>
                    <pic:cNvPicPr>
                      <a:picLocks noChangeAspect="1" noChangeArrowheads="1"/>
                    </pic:cNvPicPr>
                  </pic:nvPicPr>
                  <pic:blipFill>
                    <a:blip r:embed="rId9"/>
                    <a:stretch>
                      <a:fillRect/>
                    </a:stretch>
                  </pic:blipFill>
                  <pic:spPr bwMode="auto">
                    <a:xfrm>
                      <a:off x="0" y="0"/>
                      <a:ext cx="92710" cy="92710"/>
                    </a:xfrm>
                    <a:prstGeom prst="rect">
                      <a:avLst/>
                    </a:prstGeom>
                    <a:noFill/>
                  </pic:spPr>
                </pic:pic>
              </a:graphicData>
            </a:graphic>
          </wp:inline>
        </w:drawing>
      </w:r>
      <w:r w:rsidRPr="00242749">
        <w:rPr>
          <w:lang w:val="es-PE"/>
        </w:rPr>
        <w:t>; Jerremi Aron Chancan Labajos</w:t>
      </w:r>
      <w:r w:rsidRPr="00242749">
        <w:rPr>
          <w:rFonts w:ascii="Times" w:hAnsi="Times" w:cs="Times"/>
          <w:vertAlign w:val="superscript"/>
          <w:lang w:val="es-PE"/>
        </w:rPr>
        <w:t>1</w:t>
      </w:r>
      <w:r>
        <w:rPr>
          <w:noProof/>
        </w:rPr>
        <w:drawing>
          <wp:inline distT="0" distB="0" distL="0" distR="0" wp14:anchorId="7CE4537F" wp14:editId="5E643063">
            <wp:extent cx="92710" cy="92710"/>
            <wp:effectExtent l="0" t="0" r="0" b="0"/>
            <wp:docPr id="2" name="Imagen 3" descr="ORCID identifier icon" title="ORCID identifier ico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a:hlinkClick r:id="rId10"/>
                    </pic:cNvPr>
                    <pic:cNvPicPr>
                      <a:picLocks noChangeAspect="1" noChangeArrowheads="1"/>
                    </pic:cNvPicPr>
                  </pic:nvPicPr>
                  <pic:blipFill>
                    <a:blip r:embed="rId9"/>
                    <a:stretch>
                      <a:fillRect/>
                    </a:stretch>
                  </pic:blipFill>
                  <pic:spPr bwMode="auto">
                    <a:xfrm>
                      <a:off x="0" y="0"/>
                      <a:ext cx="92710" cy="92710"/>
                    </a:xfrm>
                    <a:prstGeom prst="rect">
                      <a:avLst/>
                    </a:prstGeom>
                    <a:noFill/>
                  </pic:spPr>
                </pic:pic>
              </a:graphicData>
            </a:graphic>
          </wp:inline>
        </w:drawing>
      </w:r>
      <w:r w:rsidR="00242749">
        <w:rPr>
          <w:lang w:val="es-PE"/>
        </w:rPr>
        <w:t xml:space="preserve">; </w:t>
      </w:r>
      <w:r w:rsidR="00242749" w:rsidRPr="00DB26FF">
        <w:rPr>
          <w:lang w:val="es-PE"/>
        </w:rPr>
        <w:t>Arnold Albert Huaman Zamora</w:t>
      </w:r>
      <w:r w:rsidR="00242749">
        <w:rPr>
          <w:rFonts w:ascii="Times" w:hAnsi="Times" w:cs="Times"/>
          <w:vertAlign w:val="superscript"/>
          <w:lang w:val="es-PE"/>
        </w:rPr>
        <w:t>1</w:t>
      </w:r>
      <w:r w:rsidR="00242749">
        <w:rPr>
          <w:noProof/>
        </w:rPr>
        <w:drawing>
          <wp:inline distT="0" distB="0" distL="0" distR="0" wp14:anchorId="3540694B" wp14:editId="03142B28">
            <wp:extent cx="92710" cy="92710"/>
            <wp:effectExtent l="0" t="0" r="0" b="0"/>
            <wp:docPr id="661243754" name="Imagen 3" descr="ORCID identifier icon" title="ORCID identifier ic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3754" name="Imagen 3">
                      <a:hlinkClick r:id="rId11"/>
                    </pic:cNvPr>
                    <pic:cNvPicPr>
                      <a:picLocks noChangeAspect="1" noChangeArrowheads="1"/>
                    </pic:cNvPicPr>
                  </pic:nvPicPr>
                  <pic:blipFill>
                    <a:blip r:embed="rId9"/>
                    <a:stretch>
                      <a:fillRect/>
                    </a:stretch>
                  </pic:blipFill>
                  <pic:spPr bwMode="auto">
                    <a:xfrm>
                      <a:off x="0" y="0"/>
                      <a:ext cx="92710" cy="92710"/>
                    </a:xfrm>
                    <a:prstGeom prst="rect">
                      <a:avLst/>
                    </a:prstGeom>
                    <a:noFill/>
                  </pic:spPr>
                </pic:pic>
              </a:graphicData>
            </a:graphic>
          </wp:inline>
        </w:drawing>
      </w:r>
      <w:r w:rsidR="00242749">
        <w:rPr>
          <w:rFonts w:ascii="Times" w:hAnsi="Times" w:cs="Times"/>
          <w:vertAlign w:val="superscript"/>
          <w:lang w:val="es-PE"/>
        </w:rPr>
        <w:t>;</w:t>
      </w:r>
    </w:p>
    <w:p w14:paraId="3EBFFA92" w14:textId="069AC2D3" w:rsidR="004F01D1" w:rsidRPr="00242749" w:rsidRDefault="00000000">
      <w:pPr>
        <w:pStyle w:val="IEEEAuthorAffiliation"/>
        <w:tabs>
          <w:tab w:val="center" w:pos="5400"/>
        </w:tabs>
        <w:spacing w:after="0"/>
        <w:ind w:firstLine="0"/>
        <w:rPr>
          <w:rStyle w:val="InstitutionandEmailChar"/>
          <w:lang w:val="es-PE"/>
        </w:rPr>
      </w:pPr>
      <w:r w:rsidRPr="00242749">
        <w:rPr>
          <w:i w:val="0"/>
          <w:sz w:val="18"/>
          <w:szCs w:val="22"/>
          <w:vertAlign w:val="superscript"/>
          <w:lang w:val="es-PE"/>
        </w:rPr>
        <w:t>1</w:t>
      </w:r>
      <w:r w:rsidRPr="00242749">
        <w:rPr>
          <w:rFonts w:ascii="Times" w:eastAsia="PMingLiU" w:hAnsi="Times" w:cs="Times"/>
          <w:i w:val="0"/>
          <w:sz w:val="22"/>
          <w:szCs w:val="28"/>
          <w:lang w:val="es-PE"/>
        </w:rPr>
        <w:t>Servicio Nacional de Adiestramiento en Trabajo Industrial, Lima, Perú,</w:t>
      </w:r>
      <w:r w:rsidRPr="00242749">
        <w:rPr>
          <w:rFonts w:ascii="Times" w:eastAsia="PMingLiU" w:hAnsi="Times" w:cs="Times"/>
          <w:sz w:val="24"/>
          <w:szCs w:val="32"/>
          <w:lang w:val="es-PE"/>
        </w:rPr>
        <w:t xml:space="preserve"> </w:t>
      </w:r>
      <w:hyperlink r:id="rId12">
        <w:r w:rsidRPr="00242749">
          <w:rPr>
            <w:rStyle w:val="Hipervnculo"/>
            <w:rFonts w:ascii="Times" w:eastAsia="PMingLiU" w:hAnsi="Times" w:cs="Times"/>
            <w:sz w:val="22"/>
            <w:szCs w:val="28"/>
            <w:lang w:val="es-PE"/>
          </w:rPr>
          <w:t>mevangelistag@senati.pe</w:t>
        </w:r>
      </w:hyperlink>
      <w:r w:rsidRPr="00242749">
        <w:rPr>
          <w:sz w:val="22"/>
          <w:szCs w:val="28"/>
          <w:lang w:val="es-PE"/>
        </w:rPr>
        <w:t xml:space="preserve">, </w:t>
      </w:r>
      <w:hyperlink r:id="rId13">
        <w:r w:rsidRPr="00242749">
          <w:rPr>
            <w:rStyle w:val="Hipervnculo"/>
            <w:iCs/>
            <w:sz w:val="22"/>
            <w:szCs w:val="28"/>
            <w:lang w:val="es-PE"/>
          </w:rPr>
          <w:t>1520481@senati.pe</w:t>
        </w:r>
      </w:hyperlink>
      <w:r w:rsidR="00242749">
        <w:rPr>
          <w:lang w:val="es-PE"/>
        </w:rPr>
        <w:t xml:space="preserve">, </w:t>
      </w:r>
      <w:hyperlink r:id="rId14" w:history="1">
        <w:r w:rsidR="00674F38" w:rsidRPr="00674F38">
          <w:rPr>
            <w:rStyle w:val="Hipervnculo"/>
            <w:lang w:val="es-PE"/>
          </w:rPr>
          <w:t>1634031@senati.pe</w:t>
        </w:r>
      </w:hyperlink>
    </w:p>
    <w:p w14:paraId="65FC94AB" w14:textId="77777777" w:rsidR="004F01D1" w:rsidRPr="00242749" w:rsidRDefault="004F01D1">
      <w:pPr>
        <w:pStyle w:val="DefaultParagraphFont1"/>
        <w:jc w:val="both"/>
        <w:rPr>
          <w:rFonts w:ascii="Times New Roman" w:hAnsi="Times New Roman" w:cs="Times New Roman"/>
          <w:b/>
          <w:bCs/>
          <w:i/>
          <w:iCs/>
          <w:sz w:val="18"/>
          <w:szCs w:val="22"/>
          <w:lang w:val="es-PE"/>
        </w:rPr>
      </w:pPr>
    </w:p>
    <w:p w14:paraId="25E057F6" w14:textId="77777777" w:rsidR="004F01D1" w:rsidRPr="00242749" w:rsidRDefault="004F01D1">
      <w:pPr>
        <w:rPr>
          <w:lang w:val="es-PE"/>
        </w:rPr>
        <w:sectPr w:rsidR="004F01D1" w:rsidRPr="00242749">
          <w:footerReference w:type="even" r:id="rId15"/>
          <w:footerReference w:type="default" r:id="rId16"/>
          <w:footerReference w:type="first" r:id="rId17"/>
          <w:pgSz w:w="12240" w:h="15840"/>
          <w:pgMar w:top="1080" w:right="900" w:bottom="1440" w:left="900" w:header="0" w:footer="720" w:gutter="0"/>
          <w:cols w:space="720"/>
          <w:formProt w:val="0"/>
          <w:docGrid w:linePitch="100"/>
        </w:sectPr>
      </w:pPr>
    </w:p>
    <w:p w14:paraId="2A9B4B2A" w14:textId="77777777" w:rsidR="004F01D1" w:rsidRDefault="00000000">
      <w:pPr>
        <w:pStyle w:val="AbstractandKeywords"/>
      </w:pPr>
      <w:r>
        <w:rPr>
          <w:iCs/>
        </w:rPr>
        <w:t>Abstract—Low birth weight (LBW) remains an important marker of maternal and newborn health. We compared eight machine-learning algorithms using 4,853,689 records from the Peruvian Live Birth Certificate registry (2015–2025) and a temporal split between development data (2015–2024) and a 2025 holdout (n = 345,020). The pipeline entered 24 predictor columns, including newborn sex, place of birth, birth attendant, and delivery funding source. Because these four variables are recorded during the delivery episode and may not be available for antenatal decision-making, the analysis is interpreted as retrospective registry-based classification rather than early clinical prediction. CatBoost had the highest mean nested cross-validation ROC-AUC (0.6705), whereas HistGradientBoosting had the highest descriptive ROC-AUC on the 2025 holdout (0.6924; 95% CI, 0.6886–0.6959; PR-AUC, 0.1630). Model comparison, selection of the F1-optimal threshold, and recalibration were all examined using the 2025 data; consequently, threshold-dependent and post-recalibration estimates are exploratory rather than confirmatory. HistGradientBoosting substantially overestimated absolute risk before recalibration (mean predicted probability, 46.31%; observed prevalence, 6.43%; ECE, 0.3988), and the decision curves did not demonstrate positive net benefit over the treat-none strategy across the displayed threshold range. Performance also fell to chance levels among mothers aged 14 years or younger (ROC-AUC, 0.4971; n = 851). These findings characterize the limits of the current registry model but do not support early clinical deployment. A locked development-calibration-threshold-test design, removal of delivery-time variables, and independent validation are required before clinical use.</w:t>
      </w:r>
    </w:p>
    <w:p w14:paraId="229F5916" w14:textId="77777777" w:rsidR="004F01D1" w:rsidRDefault="00000000">
      <w:pPr>
        <w:pStyle w:val="AbstractandKeywords"/>
        <w:spacing w:after="120"/>
        <w:ind w:firstLine="357"/>
      </w:pPr>
      <w:r>
        <w:t>Keywords—low birth weight; registry-based classification; temporal validation; calibration; fairness; machine learning.</w:t>
      </w:r>
    </w:p>
    <w:p w14:paraId="562957C4" w14:textId="77777777" w:rsidR="004F01D1" w:rsidRDefault="00000000">
      <w:pPr>
        <w:pStyle w:val="Ttulo1"/>
      </w:pPr>
      <w:r>
        <w:t>I. INTRODUCTION</w:t>
      </w:r>
    </w:p>
    <w:p w14:paraId="0B18CB94" w14:textId="77777777" w:rsidR="004F01D1" w:rsidRDefault="00000000">
      <w:pPr>
        <w:snapToGrid w:val="0"/>
        <w:ind w:firstLine="360"/>
        <w:rPr>
          <w:rFonts w:ascii="Times New Roman" w:hAnsi="Times New Roman" w:cs="Times New Roman"/>
        </w:rPr>
      </w:pPr>
      <w:r>
        <w:rPr>
          <w:rFonts w:ascii="Times New Roman" w:hAnsi="Times New Roman" w:cs="Times New Roman"/>
        </w:rPr>
        <w:t xml:space="preserve">Low birth weight (LBW), defined by the World Health Organization as a birth weight below 2,500 grams, is one of the most widely used sentinel indicators of maternal and child health. Joint estimates from UNICEF and the World Health Organization indicate that the global prevalence of LBW was approximately 14.7% of live births in 2020, with an international target of reducing this burden by 30% between 2012 and 2025 </w:t>
      </w:r>
      <w:r>
        <w:fldChar w:fldCharType="begin"/>
      </w:r>
      <w:r>
        <w:rPr>
          <w:rFonts w:ascii="Times New Roman" w:hAnsi="Times New Roman" w:cs="Times New Roman"/>
        </w:rPr>
        <w:instrText>ADDIN ZOTERO_ITEM CSL_CITATION {"citationID":"BLq3r9Zu","properties":{"unsorted":false,"formattedCitation":"[1], [2]","plainCitation":"[1], [2]","noteIndex":0},"citationItems":[{"id":145,"uris":["http://zotero.org/users/local/0z44BwR0/items/ZEFAWT5H"],"itemData":{"id":145,"type":"article-journal","abstract":"Background\n            \n            Reducing low birthweight (LBW, weight at birth less than 2,500g) prevalence by at least 30% between 2012 and 2025 is a target endorsed by the World Health Assembly that can contribute to achieving Sustainable Development Goal 2 (Zero Hunger) by 2030. The 2019 LBW estimates indicated a global prevalence of 14.6% (20.5 million newborns) in 2015. We aim to develop updated LBW estimates at global, regional, and national levels for up to 202 countries for the period of 2000 to 2020.\n            \n              Methods\n            \n            Two types of sources for LBW data will be sought: national administrative data and population-based surveys. Administrative data will be searched for countries with a facility birth rate ≥80% and included when birthweight data account for ≥80% of UN estimated live births for that country and year. Surveys with birthweight data published since release of the 2019 edition of the LBW estimates will be adjusted using the standard methodology applied for the previous estimates. Risk of bias assessments will be undertaken. Covariates will be selected based on a conceptual framework of plausible associations with LBW, covariate time-series data quality, collinearity between covariates and correlations with LBW. National LBW prevalence will be estimated using a Bayesian multilevel-mixed regression model, then aggregated to derive regional and global estimates through population-weighted averages.\n            \n              Conclusion\n            \n            Whilst availability of LBW data has increased, especially with more facility births, gaps remain in the quantity and quality of data, particularly in low-and middle-income countries. Challenges include high percentages of missing data, lack of adherence to reporting standards, inaccurate measurement, and data heaping. Updated LBW estimates are important to highlight the global burden of LBW, track progress towards nutrition targets, and inform investments in programmes. Reliable, nationally representative data are key, alongside investments to improve the measurement and recording of an accurate birthweight for every baby.","container-title":"Gates Open Research","DOI":"10.12688/gatesopenres.13666.1","ISSN":"2572-4754","journalAbbreviation":"Gates Open Res","language":"en","page":"80","source":"DOI.org (Crossref)","title":"Study protocol for UNICEF and WHO estimates of global, regional, and national low birthweight prevalence for 2000 to 2020","URL":"https://gatesopenresearch.org/articles/6-80/v1","volume":"6","author":[{"family":"Krasevec","given":"Julia"},{"family":"Blencowe","given":"Hannah"},{"family":"Coffey","given":"Christopher"},{"family":"Okwaraji","given":"Yemisrach B."},{"family":"Estevez","given":"Diana"},{"family":"Stevens","given":"Gretchen A."},{"family":"Ohuma","given":"Eric O."},{"family":"Conkle","given":"Joel"},{"family":"Gatica-Domínguez","given":"Giovanna"},{"family":"Bradley","given":"Ellen"},{"family":"Muthamia","given":"Ben Kimathi"},{"family":"Dalmiya","given":"Nita"},{"family":"Lawn","given":"Joy E."},{"family":"Borghi","given":"Elaine"},{"family":"Hayashi","given":"Chika"}],"accessed":{"date-parts":[["2026",7,24]]},"issued":{"date-parts":[["2022",7,19]]}}},{"id":68,"uris":["http://zotero.org/users/local/0z44BwR0/items/9AZRVJYB"],"itemData":{"id":68,"type":"report","number":"WHO/NMH/NHD/14.5","publisher":"World Health Organization","publisher-place":"Geneva, Switzerland","title":"Global Nutrition Targets 2025: Low Birth Weight Policy Brief","URL":"https://www.who.int/publications/i/item/WHO-NMH-NHD-14.5","author":[{"literal":"World Health Organization"}],"issued":{"date-parts":[["2014"]]}}}],"schema":"https://github.com/citation-style-language/schema/raw/master/csl-citation.json"}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[1], [2]</w:t>
      </w:r>
      <w:r>
        <w:rPr>
          <w:rFonts w:ascii="Times New Roman" w:hAnsi="Times New Roman" w:cs="Times New Roman"/>
        </w:rPr>
        <w:fldChar w:fldCharType="end"/>
      </w:r>
      <w:r>
        <w:rPr>
          <w:rFonts w:ascii="Times New Roman" w:hAnsi="Times New Roman" w:cs="Times New Roman"/>
        </w:rPr>
        <w:t xml:space="preserve">. Its clinical significance extends beyond the neonatal period. Longitudinal evidence has documented associations between LBW and poorer cognitive performance during childhood </w:t>
      </w:r>
      <w:r>
        <w:fldChar w:fldCharType="begin"/>
      </w:r>
      <w:r>
        <w:rPr>
          <w:rFonts w:ascii="Times New Roman" w:hAnsi="Times New Roman" w:cs="Times New Roman"/>
        </w:rPr>
        <w:instrText>ADDIN ZOTERO_ITEM CSL_CITATION {"citationID":"wQGzIIA7","properties":{"unsorted":false,"formattedCitation":"[3]","plainCitation":"[3]","noteIndex":0},"citationItems":[{"id":178,"uris":["http://zotero.org/users/local/0z44BwR0/items/ISZF4SDR"],"itemData":{"id":178,"type":"article-journal","abstract":"Abstract\n            Multiple studies have reported that individuals with low birth weights (LBW, &lt;2500 g) have a lower intelligence quotient (IQ) than those with normal birth weights (NBW, ≥2500 g). Based on 57 eligible individual studies including 12,137 participants, we performed a meta-analysis to estimate the association between low birth weight and individuals’ IQ scores (IQs). The pooled weight mean difference (WMD) in IQs between NBW and LBW individuals was 10 (95% CI 9.26–11.68). The WMD was stable regardless of age. No publication bias was detected. The mean IQs of the extremely low birth weight (ELBW, &lt;1000 g), very low birth weight (VLBW, 1000–1499 g), moderately low birth weight (MLBW, 1500–2499 g) and NBW individuals were 91, 94, 99 and 104, respectively. Additionally, the WMD in IQs with NBW were 14, 10 and 7 for ELBW, VLBW, and MLBW individuals, respectively. Two studies permitted estimates of the influence of social determinants of health to the discrepancy in IQs, which was 13%. Since IQ is inherited and influenced by environmental factors, parental IQs and other factors contribute to residual confounding of the results. As the conclusion was based on population studies, it may not be applicable to a single individual.","container-title":"Scientific Reports","DOI":"10.1038/s41598-017-18234-9","ISSN":"2045-2322","issue":"1","journalAbbreviation":"Sci Rep","language":"en","page":"18035","source":"DOI.org (Crossref)","title":"A gradient relationship between low birth weight and IQ: A meta-analysis","title-short":"A gradient relationship between low birth weight and IQ","URL":"https://www.nature.com/articles/s41598-017-18234-9","volume":"7","author":[{"family":"Gu","given":"Huaiting"},{"family":"Wang","given":"Lixia"},{"family":"Liu","given":"Lingfei"},{"family":"Luo","given":"Xiu"},{"family":"Wang","given":"Jia"},{"family":"Hou","given":"Fang"},{"family":"Nkomola","given":"Pauline Denis"},{"family":"Li","given":"Jing"},{"family":"Liu","given":"Genyi"},{"family":"Meng","given":"Heng"},{"family":"Zhang","given":"Jiajia"},{"family":"Song","given":"Ranran"}],"accessed":{"date-parts":[["2026",7,25]]},"issued":{"date-parts":[["2017",12,21]]}}}],"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xml:space="preserve">, as well as an increased risk of obesity and metabolic disorders in adulthood </w:t>
      </w:r>
      <w:r>
        <w:fldChar w:fldCharType="begin"/>
      </w:r>
      <w:r>
        <w:rPr>
          <w:rFonts w:ascii="Times New Roman" w:hAnsi="Times New Roman" w:cs="Times New Roman"/>
        </w:rPr>
        <w:instrText>ADDIN ZOTERO_ITEM CSL_CITATION {"citationID":"CEN2bJkc","properties":{"unsorted":false,"formattedCitation":"[4]","plainCitation":"[4]","noteIndex":0},"citationItems":[{"id":180,"uris":["http://zotero.org/users/local/0z44BwR0/items/USSX7PTA"],"itemData":{"id":180,"type":"article-journal","container-title":"Cardiovascular Diabetology","DOI":"10.1186/s12933-016-0389-2","ISSN":"1475-2840","issue":"1","journalAbbreviation":"Cardiovasc Diabetol","language":"en","page":"73","source":"DOI.org (Crossref)","title":"Low birth weight leads to obesity, diabetes and increased leptin levels in adults: the CoLaus study","title-short":"Low birth weight leads to obesity, diabetes and increased leptin levels in adults","URL":"http://cardiab.biomedcentral.com/articles/10.1186/s12933-016-0389-2","volume":"15","author":[{"family":"Jornayvaz","given":"François R."},{"family":"Vollenweider","given":"Peter"},{"family":"Bochud","given":"Murielle"},{"family":"Mooser","given":"Vincent"},{"family":"Waeber","given":"Gérard"},{"family":"Marques-Vidal","given":"Pedro"}],"accessed":{"date-parts":[["2026",7,25]]},"issued":{"date-parts":[["2016",12]]}}}],"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w:t>
      </w:r>
    </w:p>
    <w:p w14:paraId="5146AA48" w14:textId="77777777" w:rsidR="004F01D1" w:rsidRDefault="00000000">
      <w:pPr>
        <w:snapToGrid w:val="0"/>
        <w:ind w:firstLine="360"/>
        <w:rPr>
          <w:rFonts w:ascii="Times New Roman" w:hAnsi="Times New Roman" w:cs="Times New Roman"/>
        </w:rPr>
      </w:pPr>
      <w:r>
        <w:rPr>
          <w:rFonts w:ascii="Times New Roman" w:hAnsi="Times New Roman" w:cs="Times New Roman"/>
        </w:rPr>
        <w:t xml:space="preserve">The use of machine learning for LBW prediction has increased substantially, with reported ROC-AUC values ranging from 0.79 to 0.96 </w:t>
      </w:r>
      <w:r>
        <w:fldChar w:fldCharType="begin"/>
      </w:r>
      <w:r>
        <w:rPr>
          <w:rFonts w:ascii="Times New Roman" w:hAnsi="Times New Roman" w:cs="Times New Roman"/>
        </w:rPr>
        <w:instrText>ADDIN ZOTERO_ITEM CSL_CITATION {"citationID":"6nRzzJ4b","properties":{"unsorted":false,"formattedCitation":"[5]\\uc0\\u8211{}[8]","plainCitation":"[5]–[8]","noteIndex":0},"citationItems":[{"id":225,"uris":["http://zotero.org/users/local/0z44BwR0/items/CEKQDBZH"],"itemData":{"id":225,"type":"article-journal","abstract":"An accurate prediction of fetal birth weight is crucial in ensuring safe delivery without health complications for the mother and baby. The uncertainty surrounding the fetus’s birth situation, including its weight range, can lead to significant risks for both mother and baby. As there is a standard birth weight range, if the fetus exceeds or falls below this range, it can result in considerable health problems. Although ultrasound imaging is commonly used to predict fetal weight, it does not always provide accurate readings, which may lead to unnecessary decisions such as early delivery and cesarian section. Besides that, no supporting system is available to predict the weight range in Saudi Arabia. Therefore, leveraging the available technologies to build a system that can serve as a second opinion for doctors and health professionals is essential. Machine learning (ML) offers significant advantages to numerous fields and can address various issues. As such, this study aims to utilize ML techniques to build a predictive model to predict the birthweight range of infants into low, normal, or high. For this purpose, two datasets were used: one from King Fahd University Hospital (KFHU), Saudi Arabia, and another publicly available dataset from the Institute of Electrical and Electronics Engineers (IEEE) data port. KFUH’s best result was obtained with the Extra Trees model, achieving an accuracy, precision, recall, and F1-score of 98%, with a specificity of 99%. On the other hand, using the Random Forest model, the IEEE dataset attained an accuracy, precision, recall, and F1-score of 96%, respectively, with a specificity of 98%. These results suggest that the proposed ML system can provide reliable predictions, which could be of significant value for doctors and health professionals in Saudi Arabia.","container-title":"Machine Learning and Knowledge Extraction","DOI":"10.3390/make6020036","ISSN":"2504-4990","issue":"2","journalAbbreviation":"MAKE","language":"en","page":"770-788","source":"DOI.org (Crossref)","title":"Birthweight Range Prediction and Classification: A Machine Learning-Based Sustainable Approach","title-short":"Birthweight Range Prediction and Classification","URL":"https://www.mdpi.com/2504-4990/6/2/36","volume":"6","author":[{"family":"Alabbad","given":"Dina A."},{"family":"Ajibi","given":"Shahad Y."},{"family":"Alotaibi","given":"Raghad B."},{"family":"Alsqer","given":"Noura K."},{"family":"Alqahtani","given":"Rahaf A."},{"family":"Felemban","given":"Noor M."},{"family":"Rahman","given":"Atta"},{"family":"Aljameel","given":"Sumayh S."},{"family":"Ahmed","given":"Mohammed Imran Basheer"},{"family":"Youldash","given":"Mustafa M."}],"accessed":{"date-parts":[["2026",7,26]]},"issued":{"date-parts":[["2024",4,1]]}}},{"id":75,"uris":["http://zotero.org/users/local/0z44BwR0/items/JWFPBUH7"],"itemData":{"id":75,"type":"article-journal","abstract":"Low birth weight (LBW), defined as a newborn weighing less than 2500 g, is an increasingly significant public health concern. Exploring the risk and protective factors for LBW is getting more and more important. This study aimed to utilize predictive models to identify the critical factors associated with LBW in singleton pregnancies.","container-title":"BMC Pregnancy and Childbirth","DOI":"10.1186/s12884-025-08318-0","ISSN":"1471-2393","issue":"1","language":"en","page":"1159","title":"Interpretable machine learning model for predicting low birth weight in singleton pregnancies: a retrospective cohort study","URL":"https://bmcpregnancychildbirth.biomedcentral.com/articles/10.1186/s12884-025-08318-0","volume":"25","author":[{"family":"Wu","given":"Xiaojuan"},{"family":"Zhao","given":"Qingxiang"},{"family":"Gao","given":"Yong"},{"family":"Zhang","given":"Yiyu"},{"family":"Xu","given":"Linrui"},{"family":"Cong","given":"Xianzhu"},{"family":"Sun","given":"Na"},{"family":"Shi","given":"Fuyan"},{"family":"Wang","given":"Suzhen"}],"issued":{"date-parts":[["2025",11,3]]}}},{"id":76,"uris":["http://zotero.org/users/local/0z44BwR0/items/QW2ART9X"],"itemData":{"id":76,"type":"article-journal","abstract":"In everyday life, individuals often search for one of several items stored in memory. This cognitive process, known as hybrid search, is critical for tasks like navigating using landmarks. While the behavioral aspects of hybrid search have been extensively studied, the underlying neural mechanisms remain less understood. In this study, we combined concurrent magnetoencephalography (MEG) and eye movement recordings to investigate the oscillatory and evoked neural dynamics supporting hybrid search under naturalistic viewing conditions. Twenty-one participants (12 males, 9 females) performed a free-viewing task involving visual search for targets embedded in memory (hybrid search) across structured, context-rich scenes. Time-Frequency analyses revealed specific neural signatures during memory encoding, retention, and visual search. During encoding and retention, posterior alpha-band power decreased with memory load, and frontoparietal beta-band activity scaled with memory load during visual search. By aligning MEG signals to eye movement events and applying source reconstruction, we identified an early visually evoked lambda response, localized to V1, followed by a distributed P3m component, with maximum activation in the right inferior parietal lobe, that discriminated target from distractor fixations. These findings were further confirmed by a deconvolution approach to account for overlapping neural signals linked to eye movements. These results show that distinct oscillatory and evoked signatures track the dynamic brain responses during hybrid search. Alpha-band modulation reflects heightened perceptual and mnemonic demands, whereas beta-band increases index cognitive control engaged during search. The fixation-locked responses highlight how classic electrophysiological signatures, such as target-related components, generalize to free viewing conditions. Together, these findings demonstrate how oscillatory and evoked responses dynamically support hybrid search under naturalistic viewing conditions, revealing how memory, attention, and visual processing interact during active vision.","container-title":"BMC Medical Informatics and Decision Making","DOI":"10.21203/rs.3.rs-4572430/v1","title":"Utilization of tree-based machine learning models for predicting low birth weight cases","issued":{"date-parts":[["2024"]]}}},{"id":77,"uris":["http://zotero.org/users/local/0z44BwR0/items/MYVCV94X"],"itemData":{"id":77,"type":"article-journal","abstract":"BACKGROUND AND AIMS: The birth weight of a newborn is a crucial factor that affects their overall health and future well-being. Low birth weight (LBW) is a widespread global issue, which the World Health Organization defines as weighing less than 2,500 g. LBW can have severe negative consequences on an individual's health, including neonatal mortality and various health concerns throughout their life. To address this problem, this study has been conducted using BDHS 2017-2018 data to uncover important aspects of LBW using a variety of machine learning (ML) approaches and to determine the best feature selection technique and best predictive ML model. METHODS: To pick out the key features, the Boruta algorithm and wrapper method were used. Logistic Regression (LR) used as traditional method and several machine learning classifiers were then used, including, DT (Decision Tree), SVM (Support Vector Machine), NB (Naïve Bayes), RF (Random Forest), XGBoost (eXtreme Gradient Boosting), and AdaBoost (Adaptive Boosting), to determine the best model for predicting LBW. The model's performance was evaluated based on the specificity, sensitivity, accuracy, F1 score and AUC value. RESULTS: Result shows, Boruta algorithm identifies eleven significant features including respondent's age, highest education level, educational attainment, wealth index, age at first birth, weight, height, BMI, age at first sexual intercourse, birth order number, and whether the child is a twin. Incorporating Boruta algorithm's significant features, the performance of traditional LR and ML methods including DT, SVM, NB, RF, XGBoost, and AB were evaluated where LR, had a specificity, sensitivity, accuracy and F1 score of 0.85, 0.5, 85.15% and 0.915. While the ML methods DT, SVM, NB, RF, XGBoost, and AB model's respective accuracy values were 85.35%, 85.15%, 84.54%, 81.18%, and 84.41%. Based on the specificity, sensitivity, accuracy, F1 score and AUC, RF (specificity = 0.99, sensitivity = 0.58, accuracy = 85.86%, F1 score = 0.9243, AUC = 0.549) outperformed the other methods. Both the classical (LR) and machine learning (ML) models' performance has improved dramatically when important characteristics are extracted using the wrapper method. The LR method identified five significant features with a specificity, sensitivity, accuracy and F1 score of 0.87, 0.33, 87.12% and 0.9309. The region, whether the infant is a twin, and cesarean delivery were the three key features discovered by the DT and RF models, which were implemented using the wrapper technique. All three models had the identical F1 score of 0.9318. However, \"child is twin\" was recognized as a significant feature by the SVM, NB, and AB models, with an F1 score of 0.9315. Ultimately, with an F1 score of 0.9315, the XGBoost model recognized \"child is twin\" and \"age at first sex\" as relevant features. Random Forest again beat the other approaches in this instance. CONCLUSIONS: The study reveals Wrapper method as the optimal feature selection technique. The ML method outperforms traditional methods, with Random Forest (RF) being the most effective predictive model for Low-Birth-Weight prediction. The study suggests that policymakers in Bangladesh can mitigate low birth weight newborns by considering identified risk factors.","container-title":"Journal of Health, Population and Nutrition","DOI":"10.1186/s41043-024-00647-8","ISSN":"2072-1315","issue":"1","language":"en","page":"157","title":"Prediction and feature selection of low birth weight using machine learning algorithms","URL":"https://jhpn.biomedcentral.com/articles/10.1186/s41043-024-00647-8","volume":"43","author":[{"family":"Reza","given":"Tasneem Binte"},{"family":"Salma","given":"Nahid"}],"issued":{"date-parts":[["2024",10,12]]}}}],"schema":"https://github.com/citation-style-language/schema/raw/master/csl-citation.json"}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r>
        <w:rPr>
          <w:rFonts w:ascii="Times New Roman" w:hAnsi="Times New Roman" w:cs="Times New Roman"/>
        </w:rPr>
        <w:t xml:space="preserve">. However, a recent systematic review identified several recurring methodological shortcomings in this literature </w:t>
      </w:r>
      <w:r>
        <w:fldChar w:fldCharType="begin"/>
      </w:r>
      <w:r>
        <w:rPr>
          <w:rFonts w:ascii="Times New Roman" w:hAnsi="Times New Roman" w:cs="Times New Roman"/>
        </w:rPr>
        <w:instrText>ADDIN ZOTERO_ITEM CSL_CITATION {"citationID":"fTxc6kbg","properties":{"unsorted":false,"formattedCitation":"[9]","plainCitation":"[9]","noteIndex":0},"citationItems":[{"id":182,"uris":["http://zotero.org/users/local/0z44BwR0/items/P6CLMMZW"],"itemData":{"id":182,"type":"article-journal","container-title":"BMC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t xml:space="preserve">, including validation based on random data splits rather than temporal or external validation, the use of synthetic oversampling on already </w:t>
      </w:r>
      <w:r>
        <w:rPr>
          <w:rFonts w:ascii="Times New Roman" w:hAnsi="Times New Roman" w:cs="Times New Roman"/>
        </w:rPr>
        <w:t>limited datasets, and the absence of an explicit distinction between variables available before delivery and outcome-related variables generated during the obstetric event itself.</w:t>
      </w:r>
    </w:p>
    <w:p w14:paraId="1EFF6ADE" w14:textId="77777777" w:rsidR="004F01D1" w:rsidRDefault="00000000">
      <w:pPr>
        <w:snapToGrid w:val="0"/>
        <w:ind w:firstLine="360"/>
        <w:rPr>
          <w:rFonts w:ascii="Times New Roman" w:hAnsi="Times New Roman" w:cs="Times New Roman"/>
        </w:rPr>
      </w:pPr>
      <w:r>
        <w:rPr>
          <w:rFonts w:ascii="Times New Roman" w:hAnsi="Times New Roman" w:cs="Times New Roman"/>
        </w:rPr>
        <w:t>The present study addresses a narrower question: how well can machine-learning algorithms classify LBW from a national administrative birth record under temporal validation? The intended analysis time point is completion of the delivery record. It is not an antenatal prediction tool, because part of the predictor set is generated during the delivery episode. Stating this time point explicitly prevents retrospective data availability from being mistaken for prospective clinical availability.</w:t>
      </w:r>
    </w:p>
    <w:p w14:paraId="47B390E7" w14:textId="77777777" w:rsidR="004F01D1" w:rsidRDefault="00000000">
      <w:pPr>
        <w:snapToGrid w:val="0"/>
        <w:ind w:firstLine="360"/>
        <w:rPr>
          <w:rFonts w:ascii="Times New Roman" w:hAnsi="Times New Roman" w:cs="Times New Roman"/>
        </w:rPr>
      </w:pPr>
      <w:r>
        <w:rPr>
          <w:rFonts w:ascii="Times New Roman" w:hAnsi="Times New Roman" w:cs="Times New Roman"/>
        </w:rPr>
        <w:t>The study contributes a nationwide temporal benchmark, compares internal nested cross-validation with a later calendar-year holdout, and audits calibration, decision-curve behavior, interpretability, fairness, drift, and robustness. These analyses are used to identify limitations rather than to claim clinical readiness.</w:t>
      </w:r>
    </w:p>
    <w:p w14:paraId="4ECAC7FB" w14:textId="77777777" w:rsidR="004F01D1" w:rsidRDefault="00000000">
      <w:pPr>
        <w:pStyle w:val="Ttulo1"/>
      </w:pPr>
      <w:r>
        <w:t>II. RELATED WORK</w:t>
      </w:r>
    </w:p>
    <w:p w14:paraId="5466CEC2" w14:textId="77777777" w:rsidR="004F01D1" w:rsidRDefault="00000000">
      <w:pPr>
        <w:pStyle w:val="Ttulo2"/>
      </w:pPr>
      <w:r>
        <w:t>A.</w:t>
      </w:r>
      <w:r>
        <w:tab/>
        <w:t>Low Birth Weight as a Public Health Problem</w:t>
      </w:r>
    </w:p>
    <w:p w14:paraId="0716DBDF" w14:textId="77777777" w:rsidR="004F01D1" w:rsidRDefault="00000000">
      <w:r>
        <w:t xml:space="preserve">LBW is also one of the principal indicators of maternal and child health worldwide and is strongly associated with an increased risk of neonatal mortality, complications during the perinatal period, and adverse effects on growth, neurodevelopment, and health later in life </w:t>
      </w:r>
      <w:r>
        <w:fldChar w:fldCharType="begin"/>
      </w:r>
      <w:r>
        <w:instrText>ADDIN ZOTERO_ITEM CSL_CITATION {"citationID":"kEGpfikZ","properties":{"unsorted":false,"formattedCitation":"[2], [3]","plainCitation":"[2], [3]","noteIndex":0},"citationItems":[{"id":68,"uris":["http://zotero.org/users/local/0z44BwR0/items/9AZRVJYB"],"itemData":{"id":68,"type":"report","number":"WHO/NMH/NHD/14.5","publisher":"World Health Organization","publisher-place":"Geneva, Switzerland","title":"Global Nutrition Targets 2025: Low Birth Weight Policy Brief","URL":"https://www.who.int/publications/i/item/WHO-NMH-NHD-14.5","author":[{"literal":"World Health Organization"}],"issued":{"date-parts":[["2014"]]}}},{"id":178,"uris":["http://zotero.org/users/local/0z44BwR0/items/ISZF4SDR"],"itemData":{"id":178,"type":"article-journal","abstract":"Abstract\n            Multiple studies have reported that individuals with low birth weights (LBW, &lt;2500 g) have a lower intelligence quotient (IQ) than those with normal birth weights (NBW, ≥2500 g). Based on 57 eligible individual studies including 12,137 participants, we performed a meta-analysis to estimate the association between low birth weight and individuals’ IQ scores (IQs). The pooled weight mean difference (WMD) in IQs between NBW and LBW individuals was 10 (95% CI 9.26–11.68). The WMD was stable regardless of age. No publication bias was detected. The mean IQs of the extremely low birth weight (ELBW, &lt;1000 g), very low birth weight (VLBW, 1000–1499 g), moderately low birth weight (MLBW, 1500–2499 g) and NBW individuals were 91, 94, 99 and 104, respectively. Additionally, the WMD in IQs with NBW were 14, 10 and 7 for ELBW, VLBW, and MLBW individuals, respectively. Two studies permitted estimates of the influence of social determinants of health to the discrepancy in IQs, which was 13%. Since IQ is inherited and influenced by environmental factors, parental IQs and other factors contribute to residual confounding of the results. As the conclusion was based on population studies, it may not be applicable to a single individual.","container-title":"Scientific Reports","DOI":"10.1038/s41598-017-18234-9","ISSN":"2045-2322","issue":"1","journalAbbreviation":"Sci Rep","language":"en","page":"18035","source":"DOI.org (Crossref)","title":"A gradient relationship between low birth weight and IQ: A meta-analysis","title-short":"A gradient relationship between low birth weight and IQ","URL":"https://www.nature.com/articles/s41598-017-18234-9","volume":"7","author":[{"family":"Gu","given":"Huaiting"},{"family":"Wang","given":"Lixia"},{"family":"Liu","given":"Lingfei"},{"family":"Luo","given":"Xiu"},{"family":"Wang","given":"Jia"},{"family":"Hou","given":"Fang"},{"family":"Nkomola","given":"Pauline Denis"},{"family":"Li","given":"Jing"},{"family":"Liu","given":"Genyi"},{"family":"Meng","given":"Heng"},{"family":"Zhang","given":"Jiajia"},{"family":"Song","given":"Ranran"}],"accessed":{"date-parts":[["2026",7,25]]},"issued":{"date-parts":[["2017",12,21]]}}}],"schema":"https://github.com/citation-style-language/schema/raw/master/csl-citation.json"}</w:instrText>
      </w:r>
      <w:r>
        <w:fldChar w:fldCharType="separate"/>
      </w:r>
      <w:r>
        <w:t>[2], [3]</w:t>
      </w:r>
      <w:r>
        <w:fldChar w:fldCharType="end"/>
      </w:r>
      <w:r>
        <w:t>.</w:t>
      </w:r>
    </w:p>
    <w:p w14:paraId="12FDA300" w14:textId="77777777" w:rsidR="004F01D1" w:rsidRDefault="00000000">
      <w:r>
        <w:t xml:space="preserve">Despite advances in prenatal and perinatal care, LBW continues to impose a substantial burden on healthcare systems, particularly in low- and middle-income countries, </w:t>
      </w:r>
      <w:r>
        <w:lastRenderedPageBreak/>
        <w:t xml:space="preserve">where multiple biological, obstetric, and socioeconomic determinants converge </w:t>
      </w:r>
      <w:r>
        <w:fldChar w:fldCharType="begin"/>
      </w:r>
      <w:r>
        <w:instrText>ADDIN ZOTERO_ITEM CSL_CITATION {"citationID":"eLs2kcK7","properties":{"unsorted":false,"formattedCitation":"[1], [2]","plainCitation":"[1], [2]","noteIndex":0},"citationItems":[{"id":68,"uris":["http://zotero.org/users/local/0z44BwR0/items/9AZRVJYB"],"itemData":{"id":68,"type":"report","number":"WHO/NMH/NHD/14.5","publisher":"World Health Organization","publisher-place":"Geneva, Switzerland","title":"Global Nutrition Targets 2025: Low Birth Weight Policy Brief","URL":"https://www.who.int/publications/i/item/WHO-NMH-NHD-14.5","author":[{"literal":"World Health Organization"}],"issued":{"date-parts":[["2014"]]}}},{"id":145,"uris":["http://zotero.org/users/local/0z44BwR0/items/ZEFAWT5H"],"itemData":{"id":145,"type":"article-journal","abstract":"Background\n            \n            Reducing low birthweight (LBW, weight at birth less than 2,500g) prevalence by at least 30% between 2012 and 2025 is a target endorsed by the World Health Assembly that can contribute to achieving Sustainable Development Goal 2 (Zero Hunger) by 2030. The 2019 LBW estimates indicated a global prevalence of 14.6% (20.5 million newborns) in 2015. We aim to develop updated LBW estimates at global, regional, and national levels for up to 202 countries for the period of 2000 to 2020.\n            \n              Methods\n            \n            Two types of sources for LBW data will be sought: national administrative data and population-based surveys. Administrative data will be searched for countries with a facility birth rate ≥80% and included when birthweight data account for ≥80% of UN estimated live births for that country and year. Surveys with birthweight data published since release of the 2019 edition of the LBW estimates will be adjusted using the standard methodology applied for the previous estimates. Risk of bias assessments will be undertaken. Covariates will be selected based on a conceptual framework of plausible associations with LBW, covariate time-series data quality, collinearity between covariates and correlations with LBW. National LBW prevalence will be estimated using a Bayesian multilevel-mixed regression model, then aggregated to derive regional and global estimates through population-weighted averages.\n            \n              Conclusion\n            \n            Whilst availability of LBW data has increased, especially with more facility births, gaps remain in the quantity and quality of data, particularly in low-and middle-income countries. Challenges include high percentages of missing data, lack of adherence to reporting standards, inaccurate measurement, and data heaping. Updated LBW estimates are important to highlight the global burden of LBW, track progress towards nutrition targets, and inform investments in programmes. Reliable, nationally representative data are key, alongside investments to improve the measurement and recording of an accurate birthweight for every baby.","container-title":"Gates Open Research","DOI":"10.12688/gatesopenres.13666.1","ISSN":"2572-4754","journalAbbreviation":"Gates Open Res","language":"en","page":"80","source":"DOI.org (Crossref)","title":"Study protocol for UNICEF and WHO estimates of global, regional, and national low birthweight prevalence for 2000 to 2020","URL":"https://gatesopenresearch.org/articles/6-80/v1","volume":"6","author":[{"family":"Krasevec","given":"Julia"},{"family":"Blencowe","given":"Hannah"},{"family":"Coffey","given":"Christopher"},{"family":"Okwaraji","given":"Yemisrach B."},{"family":"Estevez","given":"Diana"},{"family":"Stevens","given":"Gretchen A."},{"family":"Ohuma","given":"Eric O."},{"family":"Conkle","given":"Joel"},{"family":"Gatica-Domínguez","given":"Giovanna"},{"family":"Bradley","given":"Ellen"},{"family":"Muthamia","given":"Ben Kimathi"},{"family":"Dalmiya","given":"Nita"},{"family":"Lawn","given":"Joy E."},{"family":"Borghi","given":"Elaine"},{"family":"Hayashi","given":"Chika"}],"accessed":{"date-parts":[["2026",7,24]]},"issued":{"date-parts":[["2022",7,19]]}}}],"schema":"https://github.com/citation-style-language/schema/raw/master/csl-citation.json"}</w:instrText>
      </w:r>
      <w:r>
        <w:fldChar w:fldCharType="separate"/>
      </w:r>
      <w:r>
        <w:t>[1], [2]</w:t>
      </w:r>
      <w:r>
        <w:fldChar w:fldCharType="end"/>
      </w:r>
      <w:r>
        <w:t xml:space="preserve">. Owing to its multifactorial nature, the early identification of pregnancies at risk of LBW remains a clinical and epidemiological challenge, motivating the development of strategies aimed at improving its prediction and prevention </w:t>
      </w:r>
      <w:r>
        <w:fldChar w:fldCharType="begin"/>
      </w:r>
      <w:r>
        <w:instrText>ADDIN ZOTERO_ITEM CSL_CITATION {"citationID":"MPUplLiU","properties":{"unsorted":false,"formattedCitation":"[1], [4]","plainCitation":"[1], [4]","noteIndex":0},"citationItems":[{"id":145,"uris":["http://zotero.org/users/local/0z44BwR0/items/ZEFAWT5H"],"itemData":{"id":145,"type":"article-journal","abstract":"Background\n            \n            Reducing low birthweight (LBW, weight at birth less than 2,500g) prevalence by at least 30% between 2012 and 2025 is a target endorsed by the World Health Assembly that can contribute to achieving Sustainable Development Goal 2 (Zero Hunger) by 2030. The 2019 LBW estimates indicated a global prevalence of 14.6% (20.5 million newborns) in 2015. We aim to develop updated LBW estimates at global, regional, and national levels for up to 202 countries for the period of 2000 to 2020.\n            \n              Methods\n            \n            Two types of sources for LBW data will be sought: national administrative data and population-based surveys. Administrative data will be searched for countries with a facility birth rate ≥80% and included when birthweight data account for ≥80% of UN estimated live births for that country and year. Surveys with birthweight data published since release of the 2019 edition of the LBW estimates will be adjusted using the standard methodology applied for the previous estimates. Risk of bias assessments will be undertaken. Covariates will be selected based on a conceptual framework of plausible associations with LBW, covariate time-series data quality, collinearity between covariates and correlations with LBW. National LBW prevalence will be estimated using a Bayesian multilevel-mixed regression model, then aggregated to derive regional and global estimates through population-weighted averages.\n            \n              Conclusion\n            \n            Whilst availability of LBW data has increased, especially with more facility births, gaps remain in the quantity and quality of data, particularly in low-and middle-income countries. Challenges include high percentages of missing data, lack of adherence to reporting standards, inaccurate measurement, and data heaping. Updated LBW estimates are important to highlight the global burden of LBW, track progress towards nutrition targets, and inform investments in programmes. Reliable, nationally representative data are key, alongside investments to improve the measurement and recording of an accurate birthweight for every baby.","container-title":"Gates Open Research","DOI":"10.12688/gatesopenres.13666.1","ISSN":"2572-4754","journalAbbreviation":"Gates Open Res","language":"en","page":"80","source":"DOI.org (Crossref)","title":"Study protocol for UNICEF and WHO estimates of global, regional, and national low birthweight prevalence for 2000 to 2020","URL":"https://gatesopenresearch.org/articles/6-80/v1","volume":"6","author":[{"family":"Krasevec","given":"Julia"},{"family":"Blencowe","given":"Hannah"},{"family":"Coffey","given":"Christopher"},{"family":"Okwaraji","given":"Yemisrach B."},{"family":"Estevez","given":"Diana"},{"family":"Stevens","given":"Gretchen A."},{"family":"Ohuma","given":"Eric O."},{"family":"Conkle","given":"Joel"},{"family":"Gatica-Domínguez","given":"Giovanna"},{"family":"Bradley","given":"Ellen"},{"family":"Muthamia","given":"Ben Kimathi"},{"family":"Dalmiya","given":"Nita"},{"family":"Lawn","given":"Joy E."},{"family":"Borghi","given":"Elaine"},{"family":"Hayashi","given":"Chika"}],"accessed":{"date-parts":[["2026",7,24]]},"issued":{"date-parts":[["2022",7,19]]}}},{"id":180,"uris":["http://zotero.org/users/local/0z44BwR0/items/USSX7PTA"],"itemData":{"id":180,"type":"article-journal","container-title":"Cardiovascular Diabetology","DOI":"10.1186/s12933-016-0389-2","ISSN":"1475-2840","issue":"1","journalAbbreviation":"Cardiovasc Diabetol","language":"en","page":"73","source":"DOI.org (Crossref)","title":"Low birth weight leads to obesity, diabetes and increased leptin levels in adults: the CoLaus study","title-short":"Low birth weight leads to obesity, diabetes and increased leptin levels in adults","URL":"http://cardiab.biomedcentral.com/articles/10.1186/s12933-016-0389-2","volume":"15","author":[{"family":"Jornayvaz","given":"François R."},{"family":"Vollenweider","given":"Peter"},{"family":"Bochud","given":"Murielle"},{"family":"Mooser","given":"Vincent"},{"family":"Waeber","given":"Gérard"},{"family":"Marques-Vidal","given":"Pedro"}],"accessed":{"date-parts":[["2026",7,25]]},"issued":{"date-parts":[["2016",12]]}}}],"schema":"https://github.com/citation-style-language/schema/raw/master/csl-citation.json"}</w:instrText>
      </w:r>
      <w:r>
        <w:fldChar w:fldCharType="separate"/>
      </w:r>
      <w:r>
        <w:t>[1], [4]</w:t>
      </w:r>
      <w:r>
        <w:fldChar w:fldCharType="end"/>
      </w:r>
      <w:r>
        <w:t>.</w:t>
      </w:r>
    </w:p>
    <w:p w14:paraId="2762F830" w14:textId="77777777" w:rsidR="004F01D1" w:rsidRDefault="00000000">
      <w:pPr>
        <w:pStyle w:val="Ttulo2"/>
      </w:pPr>
      <w:r>
        <w:t>B.</w:t>
      </w:r>
      <w:r>
        <w:tab/>
        <w:t>Low Birth Weight Prediction Using Machine Learning</w:t>
      </w:r>
    </w:p>
    <w:p w14:paraId="1AD82454" w14:textId="77777777" w:rsidR="004F01D1" w:rsidRDefault="00000000">
      <w:r>
        <w:t xml:space="preserve">In recent years, machine learning has become a widely adopted approach for predicting low birth weight owing to its ability to model complex relationships among multiple maternal, obstetric, and sociodemographic factors </w:t>
      </w:r>
      <w:r>
        <w:fldChar w:fldCharType="begin"/>
      </w:r>
      <w:r>
        <w:instrText>ADDIN ZOTERO_ITEM CSL_CITATION {"citationID":"QZwxUhQp","properties":{"unsorted":false,"formattedCitation":"[9], [10]","plainCitation":"[9], [10]","noteIndex":0},"citationItems":[{"id":182,"uris":["http://zotero.org/users/local/0z44BwR0/items/P6CLMMZW"],"itemData":{"id":182,"type":"article-journal","container-title":"BMC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H.C."}],"accessed":{"date-parts":[["2026",7,25]]},"issued":{"date-parts":[["2025",3,19]]}}}],"schema":"https://github.com/citation-style-language/schema/raw/master/csl-citation.json"}</w:instrText>
      </w:r>
      <w:r>
        <w:fldChar w:fldCharType="separate"/>
      </w:r>
      <w:r>
        <w:t>[9], [10]</w:t>
      </w:r>
      <w:r>
        <w:fldChar w:fldCharType="end"/>
      </w:r>
      <w:r>
        <w:t xml:space="preserve">. Unlike traditional statistical approaches, these models can capture nonlinear interactions and patterns that are difficult to represent using conventional techniques, which has led to a growing body of research aimed at improving the early identification of pregnancies at risk of LBW </w:t>
      </w:r>
      <w:r>
        <w:fldChar w:fldCharType="begin"/>
      </w:r>
      <w:r>
        <w:instrText>ADDIN ZOTERO_ITEM CSL_CITATION {"citationID":"VxjM66Uh","properties":{"unsorted":false,"formattedCitation":"[8]","plainCitation":"[8]","noteIndex":0},"citationItems":[{"id":77,"uris":["http://zotero.org/users/local/0z44BwR0/items/MYVCV94X"],"itemData":{"id":77,"type":"article-journal","abstract":"BACKGROUND AND AIMS: The birth weight of a newborn is a crucial factor that affects their overall health and future well-being. Low birth weight (LBW) is a widespread global issue, which the World Health Organization defines as weighing less than 2,500 g. LBW can have severe negative consequences on an individual's health, including neonatal mortality and various health concerns throughout their life. To address this problem, this study has been conducted using BDHS 2017-2018 data to uncover important aspects of LBW using a variety of machine learning (ML) approaches and to determine the best feature selection technique and best predictive ML model. METHODS: To pick out the key features, the Boruta algorithm and wrapper method were used. Logistic Regression (LR) used as traditional method and several machine learning classifiers were then used, including, DT (Decision Tree), SVM (Support Vector Machine), NB (Naïve Bayes), RF (Random Forest), XGBoost (eXtreme Gradient Boosting), and AdaBoost (Adaptive Boosting), to determine the best model for predicting LBW. The model's performance was evaluated based on the specificity, sensitivity, accuracy, F1 score and AUC value. RESULTS: Result shows, Boruta algorithm identifies eleven significant features including respondent's age, highest education level, educational attainment, wealth index, age at first birth, weight, height, BMI, age at first sexual intercourse, birth order number, and whether the child is a twin. Incorporating Boruta algorithm's significant features, the performance of traditional LR and ML methods including DT, SVM, NB, RF, XGBoost, and AB were evaluated where LR, had a specificity, sensitivity, accuracy and F1 score of 0.85, 0.5, 85.15% and 0.915. While the ML methods DT, SVM, NB, RF, XGBoost, and AB model's respective accuracy values were 85.35%, 85.15%, 84.54%, 81.18%, and 84.41%. Based on the specificity, sensitivity, accuracy, F1 score and AUC, RF (specificity = 0.99, sensitivity = 0.58, accuracy = 85.86%, F1 score = 0.9243, AUC = 0.549) outperformed the other methods. Both the classical (LR) and machine learning (ML) models' performance has improved dramatically when important characteristics are extracted using the wrapper method. The LR method identified five significant features with a specificity, sensitivity, accuracy and F1 score of 0.87, 0.33, 87.12% and 0.9309. The region, whether the infant is a twin, and cesarean delivery were the three key features discovered by the DT and RF models, which were implemented using the wrapper technique. All three models had the identical F1 score of 0.9318. However, \"child is twin\" was recognized as a significant feature by the SVM, NB, and AB models, with an F1 score of 0.9315. Ultimately, with an F1 score of 0.9315, the XGBoost model recognized \"child is twin\" and \"age at first sex\" as relevant features. Random Forest again beat the other approaches in this instance. CONCLUSIONS: The study reveals Wrapper method as the optimal feature selection technique. The ML method outperforms traditional methods, with Random Forest (RF) being the most effective predictive model for Low-Birth-Weight prediction. The study suggests that policymakers in Bangladesh can mitigate low birth weight newborns by considering identified risk factors.","container-title":"Journal of Health, Population and Nutrition","DOI":"10.1186/s41043-024-00647-8","ISSN":"2072-1315","issue":"1","language":"en","page":"157","title":"Prediction and feature selection of low birth weight using machine learning algorithms","URL":"https://jhpn.biomedcentral.com/articles/10.1186/s41043-024-00647-8","volume":"43","author":[{"family":"Reza","given":"Tasneem Binte"},{"family":"Salma","given":"Nahid"}],"issued":{"date-parts":[["2024",10,12]]}}}],"schema":"https://github.com/citation-style-language/schema/raw/master/csl-citation.json"}</w:instrText>
      </w:r>
      <w:r>
        <w:fldChar w:fldCharType="separate"/>
      </w:r>
      <w:r>
        <w:t>[8]</w:t>
      </w:r>
      <w:r>
        <w:fldChar w:fldCharType="end"/>
      </w:r>
      <w:r>
        <w:t>.</w:t>
      </w:r>
    </w:p>
    <w:p w14:paraId="70F66AA7" w14:textId="77777777" w:rsidR="004F01D1" w:rsidRDefault="00000000">
      <w:r>
        <w:t xml:space="preserve">The literature reports a wide variety of algorithms applied to this task, including logistic regression, Random Forest, Support Vector Machine, neural networks, XGBoost, LightGBM, and CatBoost, among others </w:t>
      </w:r>
      <w:r>
        <w:fldChar w:fldCharType="begin"/>
      </w:r>
      <w:r>
        <w:instrText>ADDIN ZOTERO_ITEM CSL_CITATION {"citationID":"rvaAFawc","properties":{"unsorted":false,"formattedCitation":"[9]\\uc0\\u8211{}[11]","plainCitation":"[9]–[11]","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H.C."}],"accessed":{"date-parts":[["2026",7,25]]},"issued":{"date-parts":[["2025",3,19]]}}},{"id":73,"uris":["http://zotero.org/users/local/0z44BwR0/items/N2PA4RY6"],"itemData":{"id":73,"type":"article-journal","abstract":"Background Low birth weight (LBW) has been linked to infant mortality. Predicting LBW is a valuable preventative tool and predictor of newborn health risks. The current study employed a machine learning model to predict LBW. Methods This study implemented predictive LBW models based on the data obtained from the “Iranian Maternal and Neonatal Network (IMaN Net)” from January 2020 to January 2022. Women with singleton pregnancies above the gestational age of 24 weeks were included. Exclusion criteria included multiple pregnancies and fetal anomalies. A predictive model was built using eight statistical learning models (logistic regression, decision tree classification, random forest classification, deep learning feedforward, extreme gradient boost model, light gradient boost model, support vector machine, and permutation feature classification with k-nearest neighbors). Expert opinion and prior observational cohorts were used to select candidate LBW predictors for all models. The area under the receiver operating characteristic curve (AUROC), accuracy, precision, recall, and F1 score were measured to evaluate their diagnostic performance. Results We found 1280 women with a recorded LBW out of 8853 deliveries, for a frequency of 14.5%. Deep learning (AUROC: 0.86), random forest classification (AUROC: 0.79), and extreme gradient boost classification (AUROC: 0.79) all have higher AUROC and perform better than others. When the other performance parameters of the models mentioned above with higher AUROC were compared, the extreme gradient boost model was the best model to predict LBW with an accuracy of 0.79, precision of 0.87, recall of 0.69, and F1 score of 0.77. According to the feature importance rank, gestational age and prior history of LBW were the top critical predictors. Conclusions Although this study found that the extreme gradient boost model performed well in predicting LBW, more research is needed to make a better conclusion on the performance of ML models in predicting LBW.","container-title":"BMC Pregnancy and Childbirth","DOI":"10.1186/s12884-023-06128-w","ISSN":"1471-2393","issue":"1","language":"en","page":"803","title":"Machine learning-based approach for predicting low birth weight","URL":"https://bmcpregnancychildbirth.biomedcentral.com/articles/10.1186/s12884-023-06128-w","volume":"23","author":[{"family":"Ranjbar","given":"Amene"},{"family":"Montazeri","given":"Farideh"},{"family":"Farashah","given":"Mohammadsadegh Vahidi"},{"family":"Mehrnoush","given":"Vahid"},{"family":"Darsareh","given":"Fatemeh"},{"family":"Roozbeh","given":"Nasibeh"}],"issued":{"date-parts":[["2023",11,20]]}}}],"schema":"https://github.com/citation-style-language/schema/raw/master/csl-citation.json"}</w:instrText>
      </w:r>
      <w:r>
        <w:fldChar w:fldCharType="separate"/>
      </w:r>
      <w:r>
        <w:t>[9]–[11]</w:t>
      </w:r>
      <w:r>
        <w:fldChar w:fldCharType="end"/>
      </w:r>
      <w:r>
        <w:t xml:space="preserve">. Consequently, the available evidence does not identify a single algorithm as consistently superior across all LBW prediction scenarios, suggesting that predictive performance depends largely on the characteristics of the study population and the information available in each dataset </w:t>
      </w:r>
      <w:r>
        <w:fldChar w:fldCharType="begin"/>
      </w:r>
      <w:r>
        <w:instrText>ADDIN ZOTERO_ITEM CSL_CITATION {"citationID":"4ZY3kEzk","properties":{"unsorted":false,"formattedCitation":"[9], [10]","plainCitation":"[9], [10]","noteIndex":0},"citationItems":[{"id":182,"uris":["http://zotero.org/users/local/0z44BwR0/items/P6CLMMZW"],"itemData":{"id":182,"type":"article-journal","container-title":"BMC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H.C."}],"accessed":{"date-parts":[["2026",7,25]]},"issued":{"date-parts":[["2025",3,19]]}}}],"schema":"https://github.com/citation-style-language/schema/raw/master/csl-citation.json"}</w:instrText>
      </w:r>
      <w:r>
        <w:fldChar w:fldCharType="separate"/>
      </w:r>
      <w:r>
        <w:t>[9], [10]</w:t>
      </w:r>
      <w:r>
        <w:fldChar w:fldCharType="end"/>
      </w:r>
      <w:r>
        <w:t>.</w:t>
      </w:r>
    </w:p>
    <w:p w14:paraId="38667517" w14:textId="77777777" w:rsidR="004F01D1" w:rsidRDefault="00000000">
      <w:pPr>
        <w:pStyle w:val="Ttulo2"/>
      </w:pPr>
      <w:r>
        <w:t>C.</w:t>
      </w:r>
      <w:r>
        <w:tab/>
        <w:t>Evolution of Predictive Model Evaluation</w:t>
      </w:r>
    </w:p>
    <w:p w14:paraId="4DA6C6E6" w14:textId="77777777" w:rsidR="004F01D1" w:rsidRDefault="00000000">
      <w:r>
        <w:t xml:space="preserve">The evaluation of predictive models for low birth weight has progressively evolved from approaches focused exclusively on discrimination performance toward more comprehensive assessments that consider multiple dimensions of model performance </w:t>
      </w:r>
      <w:r>
        <w:fldChar w:fldCharType="begin"/>
      </w:r>
      <w:r>
        <w:instrText>ADDIN ZOTERO_ITEM CSL_CITATION {"citationID":"MhAIcrg3","properties":{"unsorted":false,"formattedCitation":"[9], [10]","plainCitation":"[9], [10]","noteIndex":0},"citationItems":[{"id":182,"uris":["http://zotero.org/users/local/0z44BwR0/items/P6CLMMZW"],"itemData":{"id":182,"type":"article-journal","container-title":"BMC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H.C."}],"accessed":{"date-parts":[["2026",7,25]]},"issued":{"date-parts":[["2025",3,19]]}}}],"schema":"https://github.com/citation-style-language/schema/raw/master/csl-citation.json"}</w:instrText>
      </w:r>
      <w:r>
        <w:fldChar w:fldCharType="separate"/>
      </w:r>
      <w:r>
        <w:t>[9], [10]</w:t>
      </w:r>
      <w:r>
        <w:fldChar w:fldCharType="end"/>
      </w:r>
      <w:r>
        <w:t xml:space="preserve">. Traditionally, model comparisons have been based primarily on metrics such as the receiver operating characteristic area under the curve (ROC-AUC), accuracy, sensitivity, and specificity, which quantify classification performance but provide limited information regarding other aspects relevant to clinical application </w:t>
      </w:r>
      <w:r>
        <w:fldChar w:fldCharType="begin"/>
      </w:r>
      <w:r>
        <w:instrText>ADDIN ZOTERO_ITEM CSL_CITATION {"citationID":"VJweJNDb","properties":{"unsorted":false,"formattedCitation":"[9]","plainCitation":"[9]","noteIndex":0},"citationItems":[{"id":182,"uris":["http://zotero.org/users/local/0z44BwR0/items/P6CLMMZW"],"itemData":{"id":182,"type":"article-journal","container-title":"BMC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schema":"https://github.com/citation-style-language/schema/raw/master/csl-citation.json"}</w:instrText>
      </w:r>
      <w:r>
        <w:fldChar w:fldCharType="separate"/>
      </w:r>
      <w:r>
        <w:t>[9]</w:t>
      </w:r>
      <w:r>
        <w:fldChar w:fldCharType="end"/>
      </w:r>
      <w:r>
        <w:t>.</w:t>
      </w:r>
    </w:p>
    <w:p w14:paraId="122953B4" w14:textId="77777777" w:rsidR="004F01D1" w:rsidRDefault="00000000">
      <w:r>
        <w:t xml:space="preserve">More recent studies have expanded model evaluation to incorporate analyses of calibration, interpretability, temporal stability, robustness, and statistical comparisons between predictive models </w:t>
      </w:r>
      <w:r>
        <w:fldChar w:fldCharType="begin"/>
      </w:r>
      <w:r>
        <w:instrText>ADDIN ZOTERO_ITEM CSL_CITATION {"citationID":"lNRV0Fcv","properties":{"unsorted":false,"formattedCitation":"[10], [12]\\uc0\\u8211{}[14]","plainCitation":"[10], [12]–[14]","noteIndex":0},"citationItems":[{"id":184,"uris":["http://zotero.org/users/local/0z44BwR0/items/5BPTELA8"],"itemData":{"id":184,"type":"article-journal","container-title":"BMC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H.C."}],"accessed":{"date-parts":[["2026",7,25]]},"issued":{"date-parts":[["2025",3,19]]}}},{"id":186,"uris":["http://zotero.org/users/local/0z44BwR0/items/N4ZV96U7"],"itemData":{"id":186,"type":"article-journal","container-title":"BMC Pregnancy and Childbirth","DOI":"10.1186/s12884-026-08667-4","ISSN":"1471-2393","issue":"1","journalAbbreviation":"BMC Pregnancy Childbirth","language":"en","page":"217","source":"DOI.org (Crossref)","title":"Predicting macrosomia and low birth weight with interpretable machine learning","URL":"https://link.springer.com/10.1186/s12884-026-08667-4","volume":"26","author":[{"family":"Cui","given":"Min"},{"family":"Yang","given":"Haiying"},{"family":"Wang","given":"Bingxin"},{"family":"Zhang","given":"Jin"},{"family":"Chu","given":"Qianqian"},{"family":"Zhang","given":"Chunxiao"},{"family":"Yao","given":"Zhaomin"},{"family":"Wang","given":"Li"}],"accessed":{"date-parts":[["2026",7,25]]},"issued":{"date-parts":[["2026",2,2]]}}},{"id":189,"uris":["http://zotero.org/users/local/0z44BwR0/items/5Z4QZ7AY"],"itemData":{"id":189,"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7,25]]},"issued":{"date-parts":[["2017",11,25]]}}},{"id":193,"uris":["http://zotero.org/users/local/0z44BwR0/items/UHRBJ36T"],"itemData":{"id":193,"type":"article-journal","container-title":"Annals of Internal Medicine","DOI":"10.7326/M14-0697","ISSN":"0003-4819, 1539-3704","issue":"1","journalAbbreviation":"Ann Intern Med","language":"en","page":"55-63","source":"DOI.org (Crossref)","title":"Transparent Reporting of a multivariable prediction model for Individual Prognosis Or Diagnosis (TRIPOD): The TRIPOD Statement","title-short":"Transparent Reporting of a multivariable prediction model for Individual Prognosis Or Diagnosis (TRIPOD)","URL":"https://www.acpjournals.org/doi/10.7326/M14-0697","volume":"162","author":[{"family":"Collins","given":"Gary S."},{"family":"Reitsma","given":"Johannes B."},{"family":"Altman","given":"Douglas G."},{"family":"Moons","given":"Karel G.M."}],"accessed":{"date-parts":[["2026",7,25]]},"issued":{"date-parts":[["2015",1,6]]}}}],"schema":"https://github.com/citation-style-language/schema/raw/master/csl-citation.json"}</w:instrText>
      </w:r>
      <w:r>
        <w:fldChar w:fldCharType="separate"/>
      </w:r>
      <w:r>
        <w:t>[10], [12]–[14]</w:t>
      </w:r>
      <w:r>
        <w:fldChar w:fldCharType="end"/>
      </w:r>
      <w:r>
        <w:t xml:space="preserve">. Calibration assesses the agreement between predicted probabilities and observed outcomes, whereas interpretability methods such as SHAP facilitate the identification of the factors contributing most to both individual and global predictions </w:t>
      </w:r>
      <w:r>
        <w:fldChar w:fldCharType="begin"/>
      </w:r>
      <w:r>
        <w:instrText>ADDIN ZOTERO_ITEM CSL_CITATION {"citationID":"IKVOIAUi","properties":{"unsorted":false,"formattedCitation":"[12], [13]","plainCitation":"[12], [13]","noteIndex":0},"citationItems":[{"id":186,"uris":["http://zotero.org/users/local/0z44BwR0/items/N4ZV96U7"],"itemData":{"id":186,"type":"article-journal","container-title":"BMC Pregnancy and Childbirth","DOI":"10.1186/s12884-026-08667-4","ISSN":"1471-2393","issue":"1","journalAbbreviation":"BMC Pregnancy Childbirth","language":"en","page":"217","source":"DOI.org (Crossref)","title":"Predicting macrosomia and low birth weight with interpretable machine learning","URL":"https://link.springer.com/10.1186/s12884-026-08667-4","volume":"26","author":[{"family":"Cui","given":"Min"},{"family":"Yang","given":"Haiying"},{"family":"Wang","given":"Bingxin"},{"family":"Zhang","given":"Jin"},{"family":"Chu","given":"Qianqian"},{"family":"Zhang","given":"Chunxiao"},{"family":"Yao","given":"Zhaomin"},{"family":"Wang","given":"Li"}],"accessed":{"date-parts":[["2026",7,25]]},"issued":{"date-parts":[["2026",2,2]]}}},{"id":189,"uris":["http://zotero.org/users/local/0z44BwR0/items/5Z4QZ7AY"],"itemData":{"id":189,"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7,25]]},"issued":{"date-parts":[["2017",11,25]]}}}],"schema":"https://github.com/citation-style-language/schema/raw/master/csl-citation.json"}</w:instrText>
      </w:r>
      <w:r>
        <w:fldChar w:fldCharType="separate"/>
      </w:r>
      <w:r>
        <w:t>[12], [13]</w:t>
      </w:r>
      <w:r>
        <w:fldChar w:fldCharType="end"/>
      </w:r>
      <w:r>
        <w:t xml:space="preserve">. Likewise, several studies have begun to incorporate external or temporal validation procedures, as well as statistical tests to compare model performance and assess the reliability of the reported results </w:t>
      </w:r>
      <w:r>
        <w:fldChar w:fldCharType="begin"/>
      </w:r>
      <w:r>
        <w:instrText>ADDIN ZOTERO_ITEM CSL_CITATION {"citationID":"8CHgHQTT","properties":{"unsorted":false,"formattedCitation":"[10], [15]","plainCitation":"[10], [15]","noteIndex":0},"citationItems":[{"id":184,"uris":["http://zotero.org/users/local/0z44BwR0/items/5BPTELA8"],"itemData":{"id":184,"type":"article-journal","container-title":"BMC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H.C."}],"accessed":{"date-parts":[["2026",7,25]]},"issued":{"date-parts":[["2025",3,19]]}}},{"id":194,"uris":["http://zotero.org/users/local/0z44BwR0/items/DFNGS2VN"],"itemData":{"id":194,"type":"book","collection-title":"Statistics for Biology and Health","DOI":"10.1007/978-3-030-16399-0","ISBN":"978-3-030-16398-3","language":"en","license":"http://www.springer.com/tdm","publisher":"Springer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W."}],"accessed":{"date-parts":[["2026",7,25]]},"issued":{"date-parts":[["2019"]]}}}],"schema":"https://github.com/citation-style-language/schema/raw/master/csl-citation.json"}</w:instrText>
      </w:r>
      <w:r>
        <w:fldChar w:fldCharType="separate"/>
      </w:r>
      <w:r>
        <w:t>[10], [15]</w:t>
      </w:r>
      <w:r>
        <w:fldChar w:fldCharType="end"/>
      </w:r>
      <w:r>
        <w:t>.</w:t>
      </w:r>
    </w:p>
    <w:p w14:paraId="567CD451" w14:textId="77777777" w:rsidR="004F01D1" w:rsidRDefault="00000000">
      <w:r>
        <w:t>This evolution reflects a growing emphasis on more rigorous and comprehensive evaluations of predictive models, in which performance is no longer interpreted solely on the basis of a single discrimination metric but rather through a set of complementary criteria that enable the assessment of their clinical utility, stability, and interpretability across different application settings.</w:t>
      </w:r>
    </w:p>
    <w:p w14:paraId="0DE9FC8C" w14:textId="77777777" w:rsidR="004F01D1" w:rsidRDefault="004F01D1"/>
    <w:p w14:paraId="648A4785" w14:textId="77777777" w:rsidR="004F01D1" w:rsidRDefault="00000000">
      <w:pPr>
        <w:pStyle w:val="Ttulo2"/>
      </w:pPr>
      <w:r>
        <w:t>D.</w:t>
      </w:r>
      <w:r>
        <w:tab/>
        <w:t>Current State of Research</w:t>
      </w:r>
    </w:p>
    <w:p w14:paraId="27E6B028" w14:textId="77777777" w:rsidR="004F01D1" w:rsidRDefault="00000000">
      <w:r>
        <w:t xml:space="preserve">The reviewed literature demonstrates substantial progress in the application of machine learning to low birth weight prediction, driven by both the development of more advanced algorithms and the gradual incorporation of more comprehensive evaluation strategies </w:t>
      </w:r>
      <w:r>
        <w:fldChar w:fldCharType="begin"/>
      </w:r>
      <w:r>
        <w:instrText>ADDIN ZOTERO_ITEM CSL_CITATION {"citationID":"2VyAqfTW","properties":{"unsorted":false,"formattedCitation":"[9], [10]","plainCitation":"[9], [10]","noteIndex":0},"citationItems":[{"id":182,"uris":["http://zotero.org/users/local/0z44BwR0/items/P6CLMMZW"],"itemData":{"id":182,"type":"article-journal","container-title":"BMC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H.C."}],"accessed":{"date-parts":[["2026",7,25]]},"issued":{"date-parts":[["2025",3,19]]}}}],"schema":"https://github.com/citation-style-language/schema/raw/master/csl-citation.json"}</w:instrText>
      </w:r>
      <w:r>
        <w:fldChar w:fldCharType="separate"/>
      </w:r>
      <w:r>
        <w:t>[9], [10]</w:t>
      </w:r>
      <w:r>
        <w:fldChar w:fldCharType="end"/>
      </w:r>
      <w:r>
        <w:t xml:space="preserve">. However, published studies exhibit considerable heterogeneity with respect to the populations analyzed, data sources, variables considered, and validation protocols employed, making direct comparison of the reported results and the generalization of their conclusions difficult </w:t>
      </w:r>
      <w:r>
        <w:fldChar w:fldCharType="begin"/>
      </w:r>
      <w:r>
        <w:instrText>ADDIN ZOTERO_ITEM CSL_CITATION {"citationID":"0BQhCWNV","properties":{"unsorted":false,"formattedCitation":"[9], [10]","plainCitation":"[9], [10]","noteIndex":0},"citationItems":[{"id":182,"uris":["http://zotero.org/users/local/0z44BwR0/items/P6CLMMZW"],"itemData":{"id":182,"type":"article-journal","container-title":"BMC Pregnancy and Childbirth","DOI":"10.1186/s12884-025-07727-5","ISSN":"1471-2393","issue":"1","journalAbbreviation":"BMC Pregnancy Childbirth","language":"en","page":"696","source":"DOI.org (Crossref)","title":"Methodological conduct and risk of bias in studies on prenatal birthweight prediction models using machine learning techniques: a systematic review","title-short":"Methodological conduct and risk of bias in studies on prenatal birthweight prediction models using machine learning techniques","URL":"https://bmcpregnancychildbirth.biomedcentral.com/articles/10.1186/s12884-025-07727-5","volume":"25","author":[{"family":"Gao","given":"Jing"},{"family":"Yao","given":"Yujun"},{"family":"Xue","given":"Jingdong"},{"family":"Chen","given":"Ruiyao"},{"family":"Yang","given":"XingYu"},{"family":"Xu","given":"Jie"},{"family":"Cheng","given":"Weiwei"}],"accessed":{"date-parts":[["2026",7,25]]},"issued":{"date-parts":[["2025",7,2]]}}},{"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H.C."}],"accessed":{"date-parts":[["2026",7,25]]},"issued":{"date-parts":[["2025",3,19]]}}}],"schema":"https://github.com/citation-style-language/schema/raw/master/csl-citation.json"}</w:instrText>
      </w:r>
      <w:r>
        <w:fldChar w:fldCharType="separate"/>
      </w:r>
      <w:r>
        <w:t>[9], [10]</w:t>
      </w:r>
      <w:r>
        <w:fldChar w:fldCharType="end"/>
      </w:r>
      <w:r>
        <w:t>.</w:t>
      </w:r>
    </w:p>
    <w:p w14:paraId="5800A527" w14:textId="77777777" w:rsidR="004F01D1" w:rsidRDefault="00000000">
      <w:r>
        <w:t xml:space="preserve">Furthermore, although most studies focus on improving predictive performance through algorithm comparison, there is a growing trend toward evaluations that integrate aspects such as calibration, interpretability, and temporal validation to provide a more comprehensive characterization of predictive model performance </w:t>
      </w:r>
      <w:r>
        <w:fldChar w:fldCharType="begin"/>
      </w:r>
      <w:r>
        <w:instrText>ADDIN ZOTERO_ITEM CSL_CITATION {"citationID":"JNtgVJYm","properties":{"unsorted":false,"formattedCitation":"[10], [12], [15]","plainCitation":"[10], [12], [15]","noteIndex":0},"citationItems":[{"id":184,"uris":["http://zotero.org/users/local/0z44BwR0/items/5BPTELA8"],"itemData":{"id":184,"type":"article-journal","container-title":"BMC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H.C."}],"accessed":{"date-parts":[["2026",7,25]]},"issued":{"date-parts":[["2025",3,19]]}}},{"id":186,"uris":["http://zotero.org/users/local/0z44BwR0/items/N4ZV96U7"],"itemData":{"id":186,"type":"article-journal","container-title":"BMC Pregnancy and Childbirth","DOI":"10.1186/s12884-026-08667-4","ISSN":"1471-2393","issue":"1","journalAbbreviation":"BMC Pregnancy Childbirth","language":"en","page":"217","source":"DOI.org (Crossref)","title":"Predicting macrosomia and low birth weight with interpretable machine learning","URL":"https://link.springer.com/10.1186/s12884-026-08667-4","volume":"26","author":[{"family":"Cui","given":"Min"},{"family":"Yang","given":"Haiying"},{"family":"Wang","given":"Bingxin"},{"family":"Zhang","given":"Jin"},{"family":"Chu","given":"Qianqian"},{"family":"Zhang","given":"Chunxiao"},{"family":"Yao","given":"Zhaomin"},{"family":"Wang","given":"Li"}],"accessed":{"date-parts":[["2026",7,25]]},"issued":{"date-parts":[["2026",2,2]]}}},{"id":194,"uris":["http://zotero.org/users/local/0z44BwR0/items/DFNGS2VN"],"itemData":{"id":194,"type":"book","collection-title":"Statistics for Biology and Health","DOI":"10.1007/978-3-030-16399-0","ISBN":"978-3-030-16398-3","language":"en","license":"http://www.springer.com/tdm","publisher":"Springer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W."}],"accessed":{"date-parts":[["2026",7,25]]},"issued":{"date-parts":[["2019"]]}}}],"schema":"https://github.com/citation-style-language/schema/raw/master/csl-citation.json"}</w:instrText>
      </w:r>
      <w:r>
        <w:fldChar w:fldCharType="separate"/>
      </w:r>
      <w:r>
        <w:t>[10], [12], [15]</w:t>
      </w:r>
      <w:r>
        <w:fldChar w:fldCharType="end"/>
      </w:r>
      <w:r>
        <w:t xml:space="preserve">. This evolution reflects a shift in research focus from identifying the best-performing algorithm toward achieving a more comprehensive understanding of the capabilities and limitations of predictive models across different clinical and population settings </w:t>
      </w:r>
      <w:r>
        <w:fldChar w:fldCharType="begin"/>
      </w:r>
      <w:r>
        <w:instrText>ADDIN ZOTERO_ITEM CSL_CITATION {"citationID":"yOPC0CfK","properties":{"unsorted":false,"formattedCitation":"[10], [15]","plainCitation":"[10], [15]","noteIndex":0},"citationItems":[{"id":184,"uris":["http://zotero.org/users/local/0z44BwR0/items/5BPTELA8"],"itemData":{"id":184,"type":"article-journal","container-title":"BMC Pregnancy and Childbirth","DOI":"10.1186/s12884-025-07351-3","ISSN":"1471-2393","issue":"1","journalAbbreviation":"BMC Pregnancy Childbirth","language":"en","page":"320","source":"DOI.org (Crossref)","title":"Predicting low birth weight risks in pregnant women in Brazil using machine learning algorithms: data from the Araraquara cohort study","title-short":"Predicting low birth weight risks in pregnant women in Brazil using machine learning algorithms","URL":"https://bmcpregnancychildbirth.biomedcentral.com/articles/10.1186/s12884-025-07351-3","volume":"25","author":[{"family":"Victor","given":"Audêncio"},{"family":"Almeida","given":"Francielly"},{"family":"Xavier","given":"Sancho Pedro"},{"family":"Rondó","given":"Patrícia H.C."}],"accessed":{"date-parts":[["2026",7,25]]},"issued":{"date-parts":[["2025",3,19]]}}},{"id":194,"uris":["http://zotero.org/users/local/0z44BwR0/items/DFNGS2VN"],"itemData":{"id":194,"type":"book","collection-title":"Statistics for Biology and Health","DOI":"10.1007/978-3-030-16399-0","ISBN":"978-3-030-16398-3","language":"en","license":"http://www.springer.com/tdm","publisher":"Springer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W."}],"accessed":{"date-parts":[["2026",7,25]]},"issued":{"date-parts":[["2019"]]}}}],"schema":"https://github.com/citation-style-language/schema/raw/master/csl-citation.json"}</w:instrText>
      </w:r>
      <w:r>
        <w:fldChar w:fldCharType="separate"/>
      </w:r>
      <w:r>
        <w:t>[10], [15]</w:t>
      </w:r>
      <w:r>
        <w:fldChar w:fldCharType="end"/>
      </w:r>
      <w:r>
        <w:t>.</w:t>
      </w:r>
    </w:p>
    <w:p w14:paraId="2BCCB2F8" w14:textId="77777777" w:rsidR="004F01D1" w:rsidRDefault="00000000">
      <w:pPr>
        <w:pStyle w:val="Ttulo1"/>
      </w:pPr>
      <w:r>
        <w:t>III. MATERIALS AND METHODS</w:t>
      </w:r>
    </w:p>
    <w:p w14:paraId="66FA99DA" w14:textId="77777777" w:rsidR="004F01D1" w:rsidRDefault="00000000">
      <w:pPr>
        <w:pStyle w:val="Ttulo2"/>
      </w:pPr>
      <w:r>
        <w:t>A.</w:t>
      </w:r>
      <w:r>
        <w:tab/>
        <w:t xml:space="preserve">Study Design </w:t>
      </w:r>
    </w:p>
    <w:p w14:paraId="36ED1E28" w14:textId="77777777" w:rsidR="004F01D1" w:rsidRDefault="00000000">
      <w:r>
        <w:t>The overall study methodology and the multi-level validation strategy are summarized in Fig. 1, which illustrates the complete methodological workflow, and Fig. 2, which presents the validation framework employed.</w:t>
      </w:r>
    </w:p>
    <w:p w14:paraId="41AAB5D4" w14:textId="77777777" w:rsidR="004F01D1" w:rsidRDefault="004F01D1"/>
    <w:p w14:paraId="4D0E62ED" w14:textId="77777777" w:rsidR="004F01D1" w:rsidRDefault="00000000">
      <w:pPr>
        <w:ind w:firstLine="567"/>
      </w:pPr>
      <w:r>
        <w:rPr>
          <w:noProof/>
        </w:rPr>
        <w:drawing>
          <wp:inline distT="0" distB="0" distL="0" distR="0" wp14:anchorId="44A12C8B" wp14:editId="76369D85">
            <wp:extent cx="2496820" cy="1071245"/>
            <wp:effectExtent l="0" t="0" r="0" b="0"/>
            <wp:docPr id="3" name="Imagen 2" descr="Eight-step methodological workflow from registry data to multidimensional evaluation" title="Eight-step methodological workflow from registry data to multidimensional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18"/>
                    <a:stretch>
                      <a:fillRect/>
                    </a:stretch>
                  </pic:blipFill>
                  <pic:spPr bwMode="auto">
                    <a:xfrm>
                      <a:off x="0" y="0"/>
                      <a:ext cx="2496820" cy="1071245"/>
                    </a:xfrm>
                    <a:prstGeom prst="rect">
                      <a:avLst/>
                    </a:prstGeom>
                    <a:noFill/>
                  </pic:spPr>
                </pic:pic>
              </a:graphicData>
            </a:graphic>
          </wp:inline>
        </w:drawing>
      </w:r>
    </w:p>
    <w:p w14:paraId="3BF600EE" w14:textId="77777777" w:rsidR="004F01D1" w:rsidRDefault="00000000">
      <w:pPr>
        <w:pStyle w:val="FigureCaption"/>
      </w:pPr>
      <w:r>
        <w:t>Figure 1. Methodological workflow of the study.</w:t>
      </w:r>
    </w:p>
    <w:p w14:paraId="678E7457" w14:textId="77777777" w:rsidR="004F01D1" w:rsidRDefault="00000000">
      <w:pPr>
        <w:ind w:firstLine="709"/>
        <w:rPr>
          <w:lang w:eastAsia="en-US"/>
        </w:rPr>
      </w:pPr>
      <w:r>
        <w:rPr>
          <w:noProof/>
        </w:rPr>
        <w:drawing>
          <wp:inline distT="0" distB="0" distL="0" distR="0" wp14:anchorId="2845ED08" wp14:editId="1DA30D2C">
            <wp:extent cx="2355850" cy="1832610"/>
            <wp:effectExtent l="0" t="0" r="0" b="0"/>
            <wp:docPr id="4" name="Imagen 1" descr="Three-level validation framework with nested cross-validation, leave-one-year-out analysis, and 2025 temporal holdout" title="Three-level validation framework with nested cross-validation, leave-one-year-out analysis, and 2025 temporal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noChangeArrowheads="1"/>
                    </pic:cNvPicPr>
                  </pic:nvPicPr>
                  <pic:blipFill>
                    <a:blip r:embed="rId19"/>
                    <a:stretch>
                      <a:fillRect/>
                    </a:stretch>
                  </pic:blipFill>
                  <pic:spPr bwMode="auto">
                    <a:xfrm>
                      <a:off x="0" y="0"/>
                      <a:ext cx="2355850" cy="1832610"/>
                    </a:xfrm>
                    <a:prstGeom prst="rect">
                      <a:avLst/>
                    </a:prstGeom>
                    <a:noFill/>
                  </pic:spPr>
                </pic:pic>
              </a:graphicData>
            </a:graphic>
          </wp:inline>
        </w:drawing>
      </w:r>
    </w:p>
    <w:p w14:paraId="5F120B30" w14:textId="77777777" w:rsidR="004F01D1" w:rsidRDefault="00000000">
      <w:pPr>
        <w:pStyle w:val="FigureCaption"/>
      </w:pPr>
      <w:r>
        <w:t>Figure 2. Validation framework employed.</w:t>
      </w:r>
    </w:p>
    <w:p w14:paraId="52442B9E" w14:textId="77777777" w:rsidR="004F01D1" w:rsidRDefault="00000000">
      <w:pPr>
        <w:rPr>
          <w:lang w:eastAsia="en-US"/>
        </w:rPr>
      </w:pPr>
      <w:r>
        <w:t>This retrospective observational study compared and temporally evaluated machine-learning classifiers for LBW using a nationwide administrative registry. The analysis was reported with reference to TRIPOD+AI and STROBE, and risk-of-bias domains were considered using PROBAST+AI. Because several predictors were recorded during the delivery episode, the study is framed as registry-based classification at record completion, not early antenatal prediction.</w:t>
      </w:r>
    </w:p>
    <w:p w14:paraId="1C4A3DEB" w14:textId="77777777" w:rsidR="004F01D1" w:rsidRDefault="00000000">
      <w:pPr>
        <w:pStyle w:val="Ttulo2"/>
      </w:pPr>
      <w:r>
        <w:t>B. Data Source and Study Cohort</w:t>
      </w:r>
    </w:p>
    <w:p w14:paraId="67361AF7" w14:textId="77777777" w:rsidR="004F01D1" w:rsidRDefault="00000000">
      <w:r>
        <w:t xml:space="preserve">The data used in this study were obtained from the Live Birth Certificate database of the Peruvian Ministry of Health (CNV–MINSA) </w:t>
      </w:r>
      <w:r>
        <w:fldChar w:fldCharType="begin"/>
      </w:r>
      <w:r>
        <w:instrText>ADDIN ZOTERO_ITEM CSL_CITATION {"citationID":"70zHMV6W","properties":{"unsorted":false,"formattedCitation":"[16]","plainCitation":"[16]","noteIndex":0},"citationItems":[{"id":232,"uris":["http://zotero.org/users/local/0z44BwR0/items/K3AQ6SF7"],"itemData":{"id":232,"type":"webpage","publisher":"Plataforma Nacional de Datos Abiertos","title":"Registros de Nacidos Vivos en el Perú (2015–2025)","URL":"https://n9.cl/cnv-minsa","author":[{"literal":"Ministerio de Salud - MINSA"}],"issued":{"date-parts":[["2025"]]}}}],"schema":"https://github.com/citation-style-language/schema/raw/master/csl-citation.json"}</w:instrText>
      </w:r>
      <w:r>
        <w:fldChar w:fldCharType="separate"/>
      </w:r>
      <w:r>
        <w:t>[16]</w:t>
      </w:r>
      <w:r>
        <w:fldChar w:fldCharType="end"/>
      </w:r>
      <w:r>
        <w:t>, a nationwide administrative database that routinely records maternal, obstetric, and neonatal information collected during delivery care. The consolidated version available as of November 30, 2025, was used, comprising 4,874,510 records corresponding to births that occurred between 2015 and 2025.</w:t>
      </w:r>
    </w:p>
    <w:p w14:paraId="21B55138" w14:textId="77777777" w:rsidR="004F01D1" w:rsidRDefault="00000000">
      <w:r>
        <w:t xml:space="preserve">The data were used exclusively for research purposes as anonymized administrative records, with no possibility of identifying the individuals included in the database </w:t>
      </w:r>
      <w:r>
        <w:fldChar w:fldCharType="begin"/>
      </w:r>
      <w:r>
        <w:instrText>ADDIN ZOTERO_ITEM CSL_CITATION {"citationID":"R27rJw9H","properties":{"unsorted":false,"formattedCitation":"[16]","plainCitation":"[16]","noteIndex":0},"citationItems":[{"id":232,"uris":["http://zotero.org/users/local/0z44BwR0/items/K3AQ6SF7"],"itemData":{"id":232,"type":"webpage","publisher":"Plataforma Nacional de Datos Abiertos","title":"Registros de Nacidos Vivos en el Perú (2015–2025)","URL":"https://n9.cl/cnv-minsa","author":[{"literal":"Ministerio de Salud - MINSA"}],"issued":{"date-parts":[["2025"]]}}}],"schema":"https://github.com/citation-style-language/schema/raw/master/csl-citation.json"}</w:instrText>
      </w:r>
      <w:r>
        <w:fldChar w:fldCharType="separate"/>
      </w:r>
      <w:r>
        <w:t>[16]</w:t>
      </w:r>
      <w:r>
        <w:fldChar w:fldCharType="end"/>
      </w:r>
      <w:r>
        <w:t>.</w:t>
      </w:r>
    </w:p>
    <w:p w14:paraId="43F9A2DE" w14:textId="77777777" w:rsidR="004F01D1" w:rsidRDefault="00000000">
      <w:r>
        <w:t>The complete cohort selection process is summarized in Fig. 3, presented as a STROBE-style flow diagram detailing the inclusion and exclusion stages of the study records.</w:t>
      </w:r>
    </w:p>
    <w:p w14:paraId="5AE9EA1A" w14:textId="77777777" w:rsidR="004F01D1" w:rsidRDefault="004F01D1"/>
    <w:p w14:paraId="5AC6BDE9" w14:textId="77777777" w:rsidR="004F01D1" w:rsidRDefault="00000000">
      <w:pPr>
        <w:ind w:firstLine="709"/>
      </w:pPr>
      <w:r>
        <w:rPr>
          <w:noProof/>
        </w:rPr>
        <w:drawing>
          <wp:inline distT="0" distB="0" distL="0" distR="0" wp14:anchorId="133D0C7B" wp14:editId="281486B4">
            <wp:extent cx="2291715" cy="2378075"/>
            <wp:effectExtent l="0" t="0" r="0" b="0"/>
            <wp:docPr id="5" name="Imagen6" descr="STROBE-style cohort flow diagram from 4,874,510 source records to 4,853,689 analyzed births" title="STROBE-style cohort flow diagram from 4,874,510 source records to 4,853,689 analyzed bir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20"/>
                    <a:stretch>
                      <a:fillRect/>
                    </a:stretch>
                  </pic:blipFill>
                  <pic:spPr bwMode="auto">
                    <a:xfrm>
                      <a:off x="0" y="0"/>
                      <a:ext cx="2291715" cy="2378075"/>
                    </a:xfrm>
                    <a:prstGeom prst="rect">
                      <a:avLst/>
                    </a:prstGeom>
                    <a:noFill/>
                  </pic:spPr>
                </pic:pic>
              </a:graphicData>
            </a:graphic>
          </wp:inline>
        </w:drawing>
      </w:r>
    </w:p>
    <w:p w14:paraId="15708504" w14:textId="77777777" w:rsidR="004F01D1" w:rsidRDefault="00000000">
      <w:pPr>
        <w:pStyle w:val="FigureCaption"/>
      </w:pPr>
      <w:r>
        <w:t>Figure 3. STROBE-style cohort flow diagram.</w:t>
      </w:r>
    </w:p>
    <w:p w14:paraId="18AB971D" w14:textId="77777777" w:rsidR="004F01D1" w:rsidRDefault="00000000">
      <w:r>
        <w:t xml:space="preserve">To ensure the quality and consistency of the analyzed cohort, a data quality control process based on clinical plausibility criteria was applied. This approach was supported by international recommendations for cleaning vital registration data </w:t>
      </w:r>
      <w:r>
        <w:fldChar w:fldCharType="begin"/>
      </w:r>
      <w:r>
        <w:instrText>ADDIN ZOTERO_ITEM CSL_CITATION {"citationID":"38q1ou8c","properties":{"unsorted":false,"formattedCitation":"[17]","plainCitation":"[17]","noteIndex":0},"citationItems":[{"id":234,"uris":["http://zotero.org/users/local/0z44BwR0/items/N4NTPQHB"],"itemData":{"id":234,"type":"book","publisher":"UNFPA","title":"Guía para la evaluación de la calidad de registros de nacimientos y defunciones en América Latina y el Caribe","URL":"https://n9.cl/unfpa-guia","author":[{"literal":"UNFPA América Latina y el Caribe"}],"issued":{"date-parts":[["2025"]]}}}],"schema":"https://github.com/citation-style-language/schema/raw/master/csl-citation.json"}</w:instrText>
      </w:r>
      <w:r>
        <w:fldChar w:fldCharType="separate"/>
      </w:r>
      <w:r>
        <w:t>[17]</w:t>
      </w:r>
      <w:r>
        <w:fldChar w:fldCharType="end"/>
      </w:r>
      <w:r>
        <w:t xml:space="preserve"> and by previous perinatal studies conducted in Peru  </w:t>
      </w:r>
      <w:r>
        <w:fldChar w:fldCharType="begin"/>
      </w:r>
      <w:r>
        <w:instrText>ADDIN ZOTERO_ITEM CSL_CITATION {"citationID":"surcXi5B","properties":{"unsorted":false,"formattedCitation":"[18], [19]","plainCitation":"[18], [19]","noteIndex":0},"citationItems":[{"id":235,"uris":["http://zotero.org/users/local/0z44BwR0/items/DJEYC9VC"],"itemData":{"id":235,"type":"article-journal","abstract":"Introducción. No existe consenso sobre la curva de crecimiento a utilizar para evaluarel crecimiento fetal. Objetivos. Validar unas curvas personalizadas y estudiar surendimiento en la detección de neonatos con restricción de crecimiento intrauterino(RCIU), así como su precisión diagnóstica. Métodos. Inicialmente se diseñó unascurvas personalizadas con 2,792 fetos únicos de embarazos de riesgo bajo; se calculóel peso óptimo a las 40 semanas = 1,496.202 + (64.379 x sexo fetal) + (831.362 x tallamaterna) + (9.567 x peso pregestacional), ecuación que se combinó con una funciónde proporcionalidad estándar para ajustar los pesos según su edad gestacional.Posteriormente se evaluó su rendimiento aplicándola en una cohorte retrospectivade neonatos de 24 a 40 semanas nacidos entre 2018 y 2022 en un hospital de tercernivel de Lima, Perú. Se excluyeron gemelos y anomalías congénitas. Resultados. Seestudió 6,598 neonatos. Las curvas personalizadas mostraron buena concordanciacon INTERGROWTH-21 (IG21) (kappa = 0,68; IC95% = 0,62 a 0,74). Se detectó un 2,8%de RCIU (184/6,598), similar al 3,1% de IG21 (205/6,598). Las curvas mostraron altaespecificidad y valor positivo negativo (VPN) (97% y 98%; IC95% = 97 a 98% y 98 a99%, respectivamente). El riesgo para muerte perinatal (RR =7,2; IC95% = 4,6 a 11)y su exactitud (96; IC95% = 95 a 96%) fueron superiores a los de la Fundación deMedicina Fetal (FMF) (RR = 3,6; IC95% = 2,5 a 5,2 y exactitud = 89%; IC95% = 88 a89%, respectivamente). Conclusión. Las curvas peruanas personalizadas resultaronfiables para evaluar la RCIU. Su capacidad de detección y su precisión diagnósticafueron similares a otras curvas internacionales, aunque algo superiores a las de laFMF.","container-title":"Revista Peruana de Ginecología y Obstetricia","DOI":"10.31403/rpgo.v70i2593","ISSN":"2304-5132, 2304-5124","issue":"1","title":"Restricción de crecimiento intrauterino según curvas personalizadas peruanas: estudio de validación y precisión diagnóstica","URL":"https://ginecologiayobstetricia.pe/index.php/RPGO/article/view/2593","volume":"70","author":[{"family":"Tipiani-Rodríguez","given":"Oswaldo"},{"family":"Bocanegra-Becerra","given":"Yuliana Libet"},{"family":"Huarag-Chavarry","given":"Cristopher"},{"family":"Figueroa-Morales","given":"Kristtel"},{"family":"PoncianoBiaggi","given":"Miguel Ángel"}],"issued":{"date-parts":[["2024",3,12]]}}},{"id":238,"uris":["http://zotero.org/users/local/0z44BwR0/items/G9ECJ8CH"],"itemData":{"id":238,"type":"webpage","title":"Programa Salud Materno Neonatal","URL":"https://n9.cl/salud-materno-neonatal","author":[{"literal":"Ministerio de Economía y Finanzas del Perú"}],"issued":{"date-parts":[["2026"]]}}}],"schema":"https://github.com/citation-style-language/schema/raw/master/csl-citation.json"}</w:instrText>
      </w:r>
      <w:r>
        <w:fldChar w:fldCharType="separate"/>
      </w:r>
      <w:r>
        <w:t>[18], [19]</w:t>
      </w:r>
      <w:r>
        <w:fldChar w:fldCharType="end"/>
      </w:r>
      <w:r>
        <w:t>. Consistent with these studies, records with birth weight outside the range of 300–7,000 g, maternal age below 10 or above 55 years, and birth length outside the range of 20–65 cm were excluded, thereby ensuring the epidemiological validity and clinical consistency of the study cohort.</w:t>
      </w:r>
    </w:p>
    <w:p w14:paraId="09D0F0E8" w14:textId="77777777" w:rsidR="004F01D1" w:rsidRDefault="00000000">
      <w:r>
        <w:t>Additionally, 1,166 duplicate records were excluded. In the absence of a more detailed breakdown of the auditing process, the remaining excluded records (19,655) corresponded to observations that failed to meet at least one of the clinical plausibility criteria. As a result, the final cohort consisted of 4,853,689 births, corresponding to a retention rate of 99.57% of the initial study population.</w:t>
      </w:r>
    </w:p>
    <w:p w14:paraId="2FB69EB1" w14:textId="77777777" w:rsidR="004F01D1" w:rsidRDefault="00000000">
      <w:pPr>
        <w:pStyle w:val="Ttulo2"/>
        <w:rPr>
          <w:lang w:eastAsia="en-US"/>
        </w:rPr>
      </w:pPr>
      <w:r>
        <w:rPr>
          <w:lang w:eastAsia="en-US"/>
        </w:rPr>
        <w:t>C.</w:t>
        <w:tab/>
        <w:t>Outcome, Predictor Availability, and Leakage Assessment</w:t>
      </w:r>
    </w:p>
    <w:p w14:paraId="7A8E716C" w14:textId="77777777" w:rsidR="004F01D1" w:rsidRDefault="00000000">
      <w:pPr>
        <w:rPr>
          <w:lang w:eastAsia="en-US"/>
        </w:rPr>
      </w:pPr>
      <w:r>
        <w:rPr>
          <w:lang w:eastAsia="en-US"/>
        </w:rPr>
        <w:t>LBW (BAJO_PESO) was defined as birth weight below 2,500 g. The prediction time point for the reported analysis was completion of the birth record. Twenty-four columns entered the modeling pipeline: maternal and obstetric history variables, engineered terms, and four delivery/newborn-context variables. Table I lists the exact inputs and makes their timing explicit.</w:t>
      </w:r>
    </w:p>
    <w:p w14:paraId="45A229DB" w14:textId="77777777" w:rsidR="004F01D1" w:rsidRDefault="00000000">
      <w:pPr>
        <w:pStyle w:val="TableCaption"/>
        <w:rPr>
          <w:lang w:eastAsia="en-US"/>
        </w:rPr>
      </w:pPr>
      <w:r>
        <w:rPr>
          <w:lang w:eastAsia="en-US"/>
        </w:rPr>
        <w:t>Table I. Predictor Columns Entered in the Modeling Pipeline</w:t>
      </w:r>
    </w:p>
    <w:tbl>
      <w:tblPr>
        <w:tblStyle w:val="Estilo1"/>
        <w:tblLook w:val="04A0" w:firstRow="1" w:lastRow="0" w:firstColumn="1" w:lastColumn="0" w:noHBand="0" w:noVBand="1"/>
        <w:tblW w:w="4300" w:type="dxa"/>
        <w:tblInd w:w="0" w:type="dxa"/>
        <w:tblLayout w:type="fixed"/>
      </w:tblPr>
      <w:tblGrid>
        <w:gridCol w:w="1250"/>
        <w:gridCol w:w="3050"/>
      </w:tblGrid>
      <w:tr w:rsidR="004F01D1" w14:paraId="3E38A18B"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250" w:type="dxa"/>
            <w:tcBorders>
              <w:bottom w:val="single" w:sz="4" w:space="0" w:color="000000"/>
            </w:tcBorders>
            <w:vAlign w:val="center"/>
            <w:tcMar>
              <w:top w:w="0" w:type="dxa"/>
              <w:left w:w="36" w:type="dxa"/>
              <w:bottom w:w="0" w:type="dxa"/>
              <w:right w:w="36" w:type="dxa"/>
            </w:tcMar>
          </w:tcPr>
          <w:p>
            <w:pPr>
              <w:jc w:val="left"/>
            </w:pPr>
            <w:r>
              <w:rPr>
                <w:rFonts w:ascii="Times New Roman" w:hAnsi="Times New Roman"/>
                <w:b/>
                <w:sz w:val="14"/>
              </w:rPr>
              <w:t>Feature group</w:t>
            </w:r>
          </w:p>
        </w:tc>
        <w:tc>
          <w:tcPr>
            <w:tcW w:w="305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4"/>
              </w:rPr>
              <w:t>Predictors entered in the pipeline</w:t>
            </w:r>
          </w:p>
        </w:tc>
      </w:tr>
      <w:tr w:rsidR="004F01D1" w14:paraId="02DAAC32" w14:textId="77777777" w:rsidTr="004F01D1">
        <w:tc>
          <w:tcPr>
            <w:tcW w:w="1250" w:type="dxa"/>
            <w:vAlign w:val="center"/>
            <w:tcMar>
              <w:top w:w="0" w:type="dxa"/>
              <w:left w:w="36" w:type="dxa"/>
              <w:bottom w:w="0" w:type="dxa"/>
              <w:right w:w="36" w:type="dxa"/>
            </w:tcMar>
          </w:tcPr>
          <w:p>
            <w:pPr>
              <w:jc w:val="left"/>
            </w:pPr>
            <w:r>
              <w:rPr>
                <w:rFonts w:ascii="Times New Roman" w:hAnsi="Times New Roman"/>
                <w:b w:val="0"/>
                <w:sz w:val="14"/>
              </w:rPr>
              <w:t>Maternal/demographic</w:t>
            </w:r>
          </w:p>
        </w:tc>
        <w:tc>
          <w:tcPr>
            <w:tcW w:w="3050" w:type="dxa"/>
            <w:vAlign w:val="center"/>
            <w:tcMar>
              <w:top w:w="0" w:type="dxa"/>
              <w:left w:w="36" w:type="dxa"/>
              <w:bottom w:w="0" w:type="dxa"/>
              <w:right w:w="36" w:type="dxa"/>
            </w:tcMar>
          </w:tcPr>
          <w:p>
            <w:pPr>
              <w:jc w:val="center"/>
            </w:pPr>
            <w:r>
              <w:rPr>
                <w:rFonts w:ascii="Times New Roman" w:hAnsi="Times New Roman"/>
                <w:b w:val="0"/>
                <w:sz w:val="14"/>
              </w:rPr>
              <w:t>Maternal age; educational level; marital status</w:t>
            </w:r>
          </w:p>
        </w:tc>
      </w:tr>
      <w:tr w:rsidR="004F01D1" w14:paraId="30A0BE93" w14:textId="77777777" w:rsidTr="004F01D1">
        <w:tc>
          <w:tcPr>
            <w:tcW w:w="1250" w:type="dxa"/>
            <w:vAlign w:val="center"/>
            <w:tcMar>
              <w:top w:w="0" w:type="dxa"/>
              <w:left w:w="36" w:type="dxa"/>
              <w:bottom w:w="0" w:type="dxa"/>
              <w:right w:w="36" w:type="dxa"/>
            </w:tcMar>
          </w:tcPr>
          <w:p>
            <w:pPr>
              <w:jc w:val="left"/>
            </w:pPr>
            <w:r>
              <w:rPr>
                <w:rFonts w:ascii="Times New Roman" w:hAnsi="Times New Roman"/>
                <w:b w:val="0"/>
                <w:sz w:val="14"/>
              </w:rPr>
              <w:t>Obstetric history</w:t>
            </w:r>
          </w:p>
        </w:tc>
        <w:tc>
          <w:tcPr>
            <w:tcW w:w="3050" w:type="dxa"/>
            <w:vAlign w:val="center"/>
            <w:tcMar>
              <w:top w:w="0" w:type="dxa"/>
              <w:left w:w="36" w:type="dxa"/>
              <w:bottom w:w="0" w:type="dxa"/>
              <w:right w:w="36" w:type="dxa"/>
            </w:tcMar>
          </w:tcPr>
          <w:p>
            <w:pPr>
              <w:jc w:val="center"/>
            </w:pPr>
            <w:r>
              <w:rPr>
                <w:rFonts w:ascii="Times New Roman" w:hAnsi="Times New Roman"/>
                <w:b w:val="0"/>
                <w:sz w:val="14"/>
              </w:rPr>
              <w:t>Previous pregnancies; living children; deceased children; abortions/fetal deaths</w:t>
            </w:r>
          </w:p>
        </w:tc>
      </w:tr>
      <w:tr w:rsidR="004F01D1" w14:paraId="6D85BD69" w14:textId="77777777" w:rsidTr="004F01D1">
        <w:tc>
          <w:tcPr>
            <w:tcW w:w="1250" w:type="dxa"/>
            <w:vAlign w:val="center"/>
            <w:tcMar>
              <w:top w:w="0" w:type="dxa"/>
              <w:left w:w="36" w:type="dxa"/>
              <w:bottom w:w="0" w:type="dxa"/>
              <w:right w:w="36" w:type="dxa"/>
            </w:tcMar>
          </w:tcPr>
          <w:p>
            <w:pPr>
              <w:jc w:val="left"/>
            </w:pPr>
            <w:r>
              <w:rPr>
                <w:rFonts w:ascii="Times New Roman" w:hAnsi="Times New Roman"/>
                <w:b w:val="0"/>
                <w:sz w:val="14"/>
              </w:rPr>
              <w:t>Derived indicators</w:t>
            </w:r>
          </w:p>
        </w:tc>
        <w:tc>
          <w:tcPr>
            <w:tcW w:w="3050" w:type="dxa"/>
            <w:vAlign w:val="center"/>
            <w:tcMar>
              <w:top w:w="0" w:type="dxa"/>
              <w:left w:w="36" w:type="dxa"/>
              <w:bottom w:w="0" w:type="dxa"/>
              <w:right w:w="36" w:type="dxa"/>
            </w:tcMar>
          </w:tcPr>
          <w:p>
            <w:pPr>
              <w:jc w:val="center"/>
            </w:pPr>
            <w:r>
              <w:rPr>
                <w:rFonts w:ascii="Times New Roman" w:hAnsi="Times New Roman"/>
                <w:b w:val="0"/>
                <w:sz w:val="14"/>
              </w:rPr>
              <w:t>ROA; TPF; EM; primigravida; grand multiparity*; extreme maternal age; prior reproductive loss</w:t>
            </w:r>
          </w:p>
        </w:tc>
      </w:tr>
      <w:tr w:rsidR="004F01D1" w14:paraId="23B01E15" w14:textId="77777777" w:rsidTr="004F01D1">
        <w:tc>
          <w:tcPr>
            <w:tcW w:w="1250" w:type="dxa"/>
            <w:vAlign w:val="center"/>
            <w:tcMar>
              <w:top w:w="0" w:type="dxa"/>
              <w:left w:w="36" w:type="dxa"/>
              <w:bottom w:w="0" w:type="dxa"/>
              <w:right w:w="36" w:type="dxa"/>
            </w:tcMar>
          </w:tcPr>
          <w:p>
            <w:pPr>
              <w:jc w:val="left"/>
            </w:pPr>
            <w:r>
              <w:rPr>
                <w:rFonts w:ascii="Times New Roman" w:hAnsi="Times New Roman"/>
                <w:b w:val="0"/>
                <w:sz w:val="14"/>
              </w:rPr>
              <w:t>Interactions/nonlinear terms</w:t>
            </w:r>
          </w:p>
        </w:tc>
        <w:tc>
          <w:tcPr>
            <w:tcW w:w="3050" w:type="dxa"/>
            <w:vAlign w:val="center"/>
            <w:tcMar>
              <w:top w:w="0" w:type="dxa"/>
              <w:left w:w="36" w:type="dxa"/>
              <w:bottom w:w="0" w:type="dxa"/>
              <w:right w:w="36" w:type="dxa"/>
            </w:tcMar>
          </w:tcPr>
          <w:p>
            <w:pPr>
              <w:jc w:val="center"/>
            </w:pPr>
            <w:r>
              <w:rPr>
                <w:rFonts w:ascii="Times New Roman" w:hAnsi="Times New Roman"/>
                <w:b w:val="0"/>
                <w:sz w:val="14"/>
              </w:rPr>
              <w:t>Age×ROA; age×pregnancies; ROA×primigravida; TPF×extreme-risk; age²; ROA²</w:t>
            </w:r>
          </w:p>
        </w:tc>
      </w:tr>
      <w:tr w:rsidR="004F01D1" w14:paraId="252E7573" w14:textId="77777777" w:rsidTr="004F01D1">
        <w:tc>
          <w:tcPr>
            <w:tcW w:w="1250" w:type="dxa"/>
            <w:vAlign w:val="center"/>
            <w:tcMar>
              <w:top w:w="0" w:type="dxa"/>
              <w:left w:w="36" w:type="dxa"/>
              <w:bottom w:w="0" w:type="dxa"/>
              <w:right w:w="36" w:type="dxa"/>
            </w:tcMar>
          </w:tcPr>
          <w:p>
            <w:pPr>
              <w:jc w:val="left"/>
            </w:pPr>
            <w:r>
              <w:rPr>
                <w:rFonts w:ascii="Times New Roman" w:hAnsi="Times New Roman"/>
                <w:b w:val="0"/>
                <w:sz w:val="14"/>
              </w:rPr>
              <w:t>Delivery/newborn context</w:t>
            </w:r>
          </w:p>
        </w:tc>
        <w:tc>
          <w:tcPr>
            <w:tcW w:w="3050" w:type="dxa"/>
            <w:vAlign w:val="center"/>
            <w:tcMar>
              <w:top w:w="0" w:type="dxa"/>
              <w:left w:w="36" w:type="dxa"/>
              <w:bottom w:w="0" w:type="dxa"/>
              <w:right w:w="36" w:type="dxa"/>
            </w:tcMar>
          </w:tcPr>
          <w:p>
            <w:pPr>
              <w:jc w:val="center"/>
            </w:pPr>
            <w:r>
              <w:rPr>
                <w:rFonts w:ascii="Times New Roman" w:hAnsi="Times New Roman"/>
                <w:b w:val="0"/>
                <w:sz w:val="14"/>
              </w:rPr>
              <w:t>Newborn sex; delivery funding source; place of birth; birth attendant</w:t>
            </w:r>
          </w:p>
        </w:tc>
      </w:tr>
    </w:tbl>
    <w:p w14:paraId="5072BC97" w14:textId="77777777" w:rsidR="004F01D1" w:rsidRDefault="00000000">
      <w:pPr>
        <w:pStyle w:val="NotaTabla"/>
      </w:pPr>
      <w:r>
        <w:t>Note: Twenty-four columns entered the pipeline. Newborn sex, place of birth, birth attendant, and delivery funding source are delivery-context variables and prevent interpretation as early antenatal predictors. The grand-multiparity indicator was constant after cleaning and therefore carried no predictive information.</w:t>
      </w:r>
    </w:p>
    <w:p w14:paraId="5CB9DE12" w14:textId="77777777" w:rsidR="004F01D1" w:rsidRDefault="00000000">
      <w:pPr>
        <w:rPr>
          <w:lang w:eastAsia="en-US"/>
        </w:rPr>
      </w:pPr>
      <w:r>
        <w:rPr>
          <w:lang w:eastAsia="en-US"/>
        </w:rPr>
        <w:t>Variables directly derived from the outcome, including birth weight, birth length, and gestational age at birth, were excluded, as were the high-cardinality facility code and geographic region (the latter was retained only for fairness analyses). Nevertheless, exclusion of direct outcome variables does not remove temporal leakage relative to an early-prediction scenario when delivery-context variables remain in the model.</w:t>
      </w:r>
    </w:p>
    <w:p w14:paraId="618943FC" w14:textId="77777777" w:rsidR="004F01D1" w:rsidRDefault="00000000">
      <w:pPr>
        <w:rPr>
          <w:lang w:eastAsia="en-US"/>
        </w:rPr>
      </w:pPr>
      <w:r>
        <w:rPr>
          <w:lang w:eastAsia="en-US"/>
        </w:rPr>
        <w:t>A statistical leakage screen was performed on 300,000 records using Pearson and Spearman correlations, univariate ROC-AUC, mutual information, and a composite score. No predictor showed near-deterministic association with LBW; the highest univariate ROC-AUC was 0.606 for birth attendant. This screen assesses statistical association only and cannot establish whether a variable is available at the intended clinical time point. Predictor timing was therefore evaluated separately.</w:t>
      </w:r>
    </w:p>
    <w:p w14:paraId="6A020684" w14:textId="77777777" w:rsidR="004F01D1" w:rsidRDefault="00000000">
      <w:pPr>
        <w:rPr>
          <w:lang w:eastAsia="en-US"/>
        </w:rPr>
      </w:pPr>
      <w:r>
        <w:rPr>
          <w:lang w:eastAsia="en-US"/>
        </w:rPr>
        <w:t>Missingness was highest for recorded abortions or fetal deaths (74.02%), followed by previous pregnancies (9.61%), living children (5.40%), and deceased children (0.03%). The registry also used sentinel values such as -1, so the reported null percentages do not capture all unavailable information. The missing-data mechanism could not be identified from the observed data alone.</w:t>
      </w:r>
    </w:p>
    <w:p w14:paraId="6AC0EC56" w14:textId="77777777" w:rsidR="004F01D1" w:rsidRDefault="00000000">
      <w:pPr>
        <w:pStyle w:val="Ttulo2"/>
        <w:rPr>
          <w:lang w:eastAsia="en-US"/>
        </w:rPr>
      </w:pPr>
      <w:r>
        <w:rPr>
          <w:lang w:eastAsia="en-US"/>
        </w:rPr>
        <w:t>D.</w:t>
      </w:r>
      <w:r>
        <w:rPr>
          <w:lang w:eastAsia="en-US"/>
        </w:rPr>
        <w:tab/>
        <w:t>Feature Engineering and Preprocessing</w:t>
      </w:r>
    </w:p>
    <w:p w14:paraId="06379F26" w14:textId="77777777" w:rsidR="004F01D1" w:rsidRDefault="00000000">
      <w:pPr>
        <w:rPr>
          <w:lang w:eastAsia="en-US"/>
        </w:rPr>
      </w:pPr>
      <w:r>
        <w:rPr>
          <w:lang w:eastAsia="en-US"/>
        </w:rPr>
        <w:t xml:space="preserve">Based on the original variables, seven derived features were constructed to represent obstetric history and maternal risk factors. These included the sum of reproductive losses (ROA), the fetal loss rate (TPF), the successful pregnancy index (EM), as well as binary indicators for primigravida, </w:t>
      </w:r>
      <w:r>
        <w:rPr>
          <w:lang w:eastAsia="en-US"/>
        </w:rPr>
        <w:lastRenderedPageBreak/>
        <w:t xml:space="preserve">grand multiparity, extreme maternal risk, and history of reproductive loss. </w:t>
      </w:r>
    </w:p>
    <w:p w14:paraId="1EE12A9B" w14:textId="77777777" w:rsidR="004F01D1" w:rsidRDefault="00000000">
      <w:pPr>
        <w:rPr>
          <w:lang w:eastAsia="en-US"/>
        </w:rPr>
      </w:pPr>
      <w:r>
        <w:rPr>
          <w:lang w:eastAsia="en-US"/>
        </w:rPr>
        <w:t xml:space="preserve">The construction of these variables follows recommended practices in epidemiological and maternal–neonatal health research, where composite indicators are derived to capture cumulative risk and improve analytical validity </w:t>
      </w:r>
      <w:r>
        <w:fldChar w:fldCharType="begin"/>
      </w:r>
      <w:r>
        <w:rPr>
          <w:lang w:eastAsia="en-US"/>
        </w:rPr>
        <w:instrText>ADDIN ZOTERO_ITEM CSL_CITATION {"citationID":"nTMxuumy","properties":{"unsorted":false,"formattedCitation":"[22]\\uc0\\u8211{}[24]","plainCitation":"[22]–[24]","noteIndex":0},"citationItems":[{"id":246,"uris":["http://zotero.org/users/local/0z44BwR0/items/QAPEJH32"],"itemData":{"id":246,"type":"book","ISBN":"978-92-4-150848-3","publisher":"World Health Organization","title":"Strategies toward ending preventable maternal mortality (EPMM)","URL":"https://www.who.int/docs/default-source/mca-documents/qoc/quality-of-care/strategies-toward-ending-preventable-maternal-mortality-(epmm).pdf","author":[{"literal":"World Health Organization"}],"issued":{"date-parts":[["2015"]]}}},{"id":247,"uris":["http://zotero.org/users/local/0z44BwR0/items/MI8TYYWX"],"itemData":{"id":247,"type":"article-journal","container-title":"The Lancet","DOI":"10.1016/S0140-6736(06)68704-7","ISSN":"01406736","issue":"9525","language":"en","page":"1819–1829","title":"Caesarean delivery rates and pregnancy outcomes: the 2005 WHO global survey on maternal and perinatal health in Latin America","URL":"https://linkinghub.elsevier.com/retrieve/pii/S0140673606687047","volume":"367","author":[{"family":"Villar","given":"José"},{"family":"Valladares","given":"Eliette"},{"family":"Wojdyla","given":"Daniel"},{"family":"Zavaleta","given":"Nelly"},{"family":"Carroli","given":"Guillermo"},{"family":"Velazco","given":"Alejandro"},{"family":"Shah","given":"Archana"},{"family":"Campodónico","given":"Liana"},{"family":"Bataglia","given":"Vicente"},{"family":"Faundes","given":"Anibal"},{"family":"Langer","given":"Ana"},{"family":"Narváez","given":"Alberto"},{"family":"Donner","given":"Allan"},{"family":"Romero","given":"Mariana"},{"family":"Reynoso","given":"Sofia"},{"family":"Simônia De Pádua","given":"Karla"},{"family":"Giordano","given":"Daniel"},{"family":"Kublickas","given":"Marius"},{"family":"Acosta","given":"Arnaldo"}],"issued":{"date-parts":[["2006"]]}}},{"id":248,"uris":["http://zotero.org/users/local/0z44BwR0/items/DNV77D7X"],"itemData":{"id":248,"type":"article-journal","container-title":"BMJ","DOI":"10.1136/bmj.39363.706956.55","ISSN":"0959-8138, 1468-5833","issue":"7628","language":"en","page":"1025","title":"Maternal and neonatal individual risks and benefits associated with caesarean delivery: multicentre prospective study","URL":"https://www.bmj.com/lookup/doi/10.1136/bmj.39363.706956.55","volume":"335","author":[{"family":"Villar","given":"José"},{"family":"Carroli","given":"Guillermo"},{"family":"Zavaleta","given":"Nelly"},{"family":"Donner","given":"Allan"},{"family":"Wojdyla","given":"Daniel"},{"family":"Faundes","given":"Anibal"},{"family":"Velazco","given":"Alejandro"},{"family":"Bataglia","given":"Vicente"},{"family":"Langer","given":"Ana"},{"family":"Narváez","given":"Alberto"},{"family":"Valladares","given":"Eliette"},{"family":"Shah","given":"Archana"},{"family":"Campodónico","given":"Liana"},{"family":"Romero","given":"Mariana"},{"family":"Reynoso","given":"Sofia"},{"family":"De Pádua","given":"Karla Simônia"},{"family":"Giordano","given":"Daniel"},{"family":"Kublickas","given":"Marius"},{"family":"Acosta","given":"Arnaldo"}],"issued":{"date-parts":[["2007",11,17]]}}}],"schema":"https://github.com/citation-style-language/schema/raw/master/csl-citation.json"}</w:instrText>
      </w:r>
      <w:r>
        <w:rPr>
          <w:lang w:eastAsia="en-US"/>
        </w:rPr>
        <w:fldChar w:fldCharType="separate"/>
      </w:r>
      <w:r>
        <w:t>[22]–[24]</w:t>
      </w:r>
      <w:r>
        <w:rPr>
          <w:lang w:eastAsia="en-US"/>
        </w:rPr>
        <w:fldChar w:fldCharType="end"/>
      </w:r>
      <w:r>
        <w:rPr>
          <w:lang w:eastAsia="en-US"/>
        </w:rPr>
        <w:t>. Their formal definitions are presented in Equations (1)–(7).</w:t>
      </w:r>
    </w:p>
    <w:p w14:paraId="3F2C3FD2" w14:textId="77777777" w:rsidR="004F01D1" w:rsidRDefault="004F01D1">
      <w:pPr>
        <w:rPr>
          <w:lang w:eastAsia="en-US"/>
        </w:rPr>
      </w:pPr>
    </w:p>
    <w:tbl>
      <w:tblPr>
        <w:tblStyle w:val="Tablaconcuadrcula"/>
        <w:tblW w:w="2043" w:type="dxa"/>
        <w:jc w:val="center"/>
        <w:tblLayout w:type="fixed"/>
        <w:tblLook w:val="04A0" w:firstRow="1" w:lastRow="0" w:firstColumn="1" w:lastColumn="0" w:noHBand="0" w:noVBand="1"/>
      </w:tblPr>
      <w:tblGrid>
        <w:gridCol w:w="1593"/>
        <w:gridCol w:w="450"/>
      </w:tblGrid>
      <w:tr w:rsidR="004F01D1" w14:paraId="27D53DEB" w14:textId="77777777">
        <w:trPr>
          <w:jc w:val="center"/>
        </w:trPr>
        <w:tc>
          <w:tcPr>
            <w:tcW w:w="1592" w:type="dxa"/>
            <w:tcBorders>
              <w:top w:val="nil"/>
              <w:left w:val="nil"/>
              <w:bottom w:val="nil"/>
              <w:right w:val="nil"/>
            </w:tcBorders>
            <w:vAlign w:val="center"/>
          </w:tcPr>
          <w:p w14:paraId="1F992805"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r>
                      <w:rPr>
                        <w:rFonts w:ascii="Cambria Math" w:hAnsi="Cambria Math"/>
                      </w:rPr>
                      <m:t>ROA=</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eqArr>
              </m:oMath>
            </m:oMathPara>
          </w:p>
        </w:tc>
        <w:tc>
          <w:tcPr>
            <w:tcW w:w="450" w:type="dxa"/>
            <w:tcBorders>
              <w:top w:val="nil"/>
              <w:left w:val="nil"/>
              <w:bottom w:val="nil"/>
              <w:right w:val="nil"/>
            </w:tcBorders>
            <w:vAlign w:val="center"/>
          </w:tcPr>
          <w:p w14:paraId="51A0FB4B"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1</w:t>
            </w:r>
            <w:r>
              <w:rPr>
                <w:lang w:eastAsia="en-US"/>
              </w:rPr>
              <w:fldChar w:fldCharType="end"/>
            </w:r>
            <w:r>
              <w:rPr>
                <w:lang w:eastAsia="en-US"/>
              </w:rPr>
              <w:t>)</w:t>
            </w:r>
          </w:p>
        </w:tc>
      </w:tr>
    </w:tbl>
    <w:p w14:paraId="3AB539C3" w14:textId="77777777" w:rsidR="004F01D1" w:rsidRDefault="00000000">
      <w:pPr>
        <w:rPr>
          <w:sz w:val="16"/>
          <w:szCs w:val="16"/>
          <w:lang w:eastAsia="en-US"/>
        </w:rPr>
      </w:pPr>
      <w:r>
        <w:rPr>
          <w:sz w:val="16"/>
          <w:szCs w:val="16"/>
          <w:lang w:eastAsia="en-US"/>
        </w:rPr>
        <w:t>where:</w:t>
      </w:r>
    </w:p>
    <w:p w14:paraId="5575BC10" w14:textId="77777777" w:rsidR="004F01D1" w:rsidRDefault="00000000">
      <w:pPr>
        <w:numPr>
          <w:ilvl w:val="0"/>
          <w:numId w:val="2"/>
        </w:numPr>
        <w:ind w:left="709" w:hanging="349"/>
        <w:rPr>
          <w:sz w:val="16"/>
          <w:szCs w:val="16"/>
          <w:lang w:eastAsia="en-US"/>
        </w:rPr>
      </w:pPr>
      <m:oMath>
        <m:sSub>
          <m:sSubPr>
            <m:ctrlPr>
              <w:rPr>
                <w:rFonts w:ascii="Cambria Math" w:hAnsi="Cambria Math"/>
              </w:rPr>
            </m:ctrlPr>
          </m:sSubPr>
          <m:e>
            <m:r>
              <w:rPr>
                <w:rFonts w:ascii="Cambria Math" w:hAnsi="Cambria Math"/>
              </w:rPr>
              <m:t>H</m:t>
            </m:r>
          </m:e>
          <m:sub>
            <m:r>
              <w:rPr>
                <w:rFonts w:ascii="Cambria Math" w:hAnsi="Cambria Math"/>
              </w:rPr>
              <m:t>f</m:t>
            </m:r>
          </m:sub>
        </m:sSub>
      </m:oMath>
      <w:r>
        <w:rPr>
          <w:sz w:val="16"/>
          <w:szCs w:val="16"/>
          <w:lang w:eastAsia="en-US"/>
        </w:rPr>
        <w:t>: number of deceased children.</w:t>
      </w:r>
    </w:p>
    <w:p w14:paraId="20BCA3EE" w14:textId="77777777" w:rsidR="004F01D1" w:rsidRDefault="00000000">
      <w:pPr>
        <w:numPr>
          <w:ilvl w:val="0"/>
          <w:numId w:val="2"/>
        </w:numPr>
        <w:ind w:left="709" w:hanging="349"/>
        <w:rPr>
          <w:sz w:val="16"/>
          <w:szCs w:val="16"/>
          <w:lang w:eastAsia="en-US"/>
        </w:rPr>
      </w:pPr>
      <m:oMath>
        <m:sSub>
          <m:sSubPr>
            <m:ctrlPr>
              <w:rPr>
                <w:rFonts w:ascii="Cambria Math" w:hAnsi="Cambria Math"/>
              </w:rPr>
            </m:ctrlPr>
          </m:sSubPr>
          <m:e>
            <m:r>
              <w:rPr>
                <w:rFonts w:ascii="Cambria Math" w:hAnsi="Cambria Math"/>
              </w:rPr>
              <m:t>A</m:t>
            </m:r>
          </m:e>
          <m:sub>
            <m:r>
              <w:rPr>
                <w:rFonts w:ascii="Cambria Math" w:hAnsi="Cambria Math"/>
              </w:rPr>
              <m:t>m</m:t>
            </m:r>
          </m:sub>
        </m:sSub>
      </m:oMath>
      <w:r>
        <w:rPr>
          <w:sz w:val="16"/>
          <w:szCs w:val="16"/>
          <w:lang w:eastAsia="en-US"/>
        </w:rPr>
        <w:t>: number of stillbirths or maternal abortions.</w:t>
      </w:r>
    </w:p>
    <w:p w14:paraId="7FE9AD6F" w14:textId="77777777" w:rsidR="004F01D1" w:rsidRDefault="004F01D1">
      <w:pPr>
        <w:ind w:left="360" w:firstLine="0"/>
        <w:rPr>
          <w:sz w:val="16"/>
          <w:szCs w:val="16"/>
          <w:lang w:eastAsia="en-US"/>
        </w:rPr>
      </w:pPr>
    </w:p>
    <w:tbl>
      <w:tblPr>
        <w:tblStyle w:val="Tablaconcuadrcula"/>
        <w:tblW w:w="2353" w:type="dxa"/>
        <w:jc w:val="center"/>
        <w:tblLayout w:type="fixed"/>
        <w:tblLook w:val="04A0" w:firstRow="1" w:lastRow="0" w:firstColumn="1" w:lastColumn="0" w:noHBand="0" w:noVBand="1"/>
      </w:tblPr>
      <w:tblGrid>
        <w:gridCol w:w="1884"/>
        <w:gridCol w:w="469"/>
      </w:tblGrid>
      <w:tr w:rsidR="004F01D1" w14:paraId="0A65F677" w14:textId="77777777">
        <w:trPr>
          <w:jc w:val="center"/>
        </w:trPr>
        <w:tc>
          <w:tcPr>
            <w:tcW w:w="1884" w:type="dxa"/>
            <w:tcBorders>
              <w:top w:val="nil"/>
              <w:left w:val="nil"/>
              <w:bottom w:val="nil"/>
              <w:right w:val="nil"/>
            </w:tcBorders>
            <w:vAlign w:val="center"/>
          </w:tcPr>
          <w:p w14:paraId="42AF8292"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r>
                      <w:rPr>
                        <w:rFonts w:ascii="Cambria Math" w:hAnsi="Cambria Math"/>
                      </w:rPr>
                      <m:t>TPF=</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ROA</m:t>
                                </m:r>
                              </m:num>
                              <m:den>
                                <m:sSub>
                                  <m:sSubPr>
                                    <m:ctrlPr>
                                      <w:rPr>
                                        <w:rFonts w:ascii="Cambria Math" w:hAnsi="Cambria Math"/>
                                      </w:rPr>
                                    </m:ctrlPr>
                                  </m:sSubPr>
                                  <m:e>
                                    <m:r>
                                      <w:rPr>
                                        <w:rFonts w:ascii="Cambria Math" w:hAnsi="Cambria Math"/>
                                      </w:rPr>
                                      <m:t>N</m:t>
                                    </m:r>
                                  </m:e>
                                  <m:sub>
                                    <m:r>
                                      <w:rPr>
                                        <w:rFonts w:ascii="Cambria Math" w:hAnsi="Cambria Math"/>
                                      </w:rPr>
                                      <m:t>e</m:t>
                                    </m:r>
                                  </m:sub>
                                </m:sSub>
                              </m:den>
                            </m:f>
                          </m:e>
                        </m:d>
                      </m:e>
                      <m:sub>
                        <m:d>
                          <m:dPr>
                            <m:begChr m:val="["/>
                            <m:endChr m:val="]"/>
                            <m:ctrlPr>
                              <w:rPr>
                                <w:rFonts w:ascii="Cambria Math" w:hAnsi="Cambria Math"/>
                              </w:rPr>
                            </m:ctrlPr>
                          </m:dPr>
                          <m:e>
                            <m:r>
                              <w:rPr>
                                <w:rFonts w:ascii="Cambria Math" w:hAnsi="Cambria Math"/>
                              </w:rPr>
                              <m:t>0,1</m:t>
                            </m:r>
                          </m:e>
                        </m:d>
                      </m:sub>
                    </m:sSub>
                  </m:e>
                </m:eqArr>
              </m:oMath>
            </m:oMathPara>
          </w:p>
        </w:tc>
        <w:tc>
          <w:tcPr>
            <w:tcW w:w="469" w:type="dxa"/>
            <w:tcBorders>
              <w:top w:val="nil"/>
              <w:left w:val="nil"/>
              <w:bottom w:val="nil"/>
              <w:right w:val="nil"/>
            </w:tcBorders>
            <w:vAlign w:val="center"/>
          </w:tcPr>
          <w:p w14:paraId="6230EFA2"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2</w:t>
            </w:r>
            <w:r>
              <w:rPr>
                <w:lang w:eastAsia="en-US"/>
              </w:rPr>
              <w:fldChar w:fldCharType="end"/>
            </w:r>
            <w:r>
              <w:rPr>
                <w:lang w:eastAsia="en-US"/>
              </w:rPr>
              <w:t>)</w:t>
            </w:r>
          </w:p>
        </w:tc>
      </w:tr>
    </w:tbl>
    <w:p w14:paraId="04ACFA31" w14:textId="77777777" w:rsidR="004F01D1" w:rsidRDefault="00000000">
      <w:pPr>
        <w:rPr>
          <w:sz w:val="16"/>
          <w:szCs w:val="16"/>
          <w:lang w:eastAsia="en-US"/>
        </w:rPr>
      </w:pPr>
      <w:r>
        <w:rPr>
          <w:sz w:val="16"/>
          <w:szCs w:val="16"/>
          <w:lang w:eastAsia="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e</m:t>
            </m:r>
          </m:sub>
        </m:sSub>
      </m:oMath>
      <w:r>
        <w:t xml:space="preserve"> </w:t>
      </w:r>
      <w:r>
        <w:rPr>
          <w:sz w:val="16"/>
          <w:szCs w:val="16"/>
          <w:lang w:eastAsia="en-US"/>
        </w:rPr>
        <w:t>represents the total number of pregnancies.</w:t>
      </w:r>
    </w:p>
    <w:p w14:paraId="7B06DDCC" w14:textId="77777777" w:rsidR="004F01D1" w:rsidRDefault="004F01D1">
      <w:pPr>
        <w:rPr>
          <w:sz w:val="16"/>
          <w:szCs w:val="16"/>
          <w:lang w:eastAsia="en-US"/>
        </w:rPr>
      </w:pPr>
    </w:p>
    <w:tbl>
      <w:tblPr>
        <w:tblStyle w:val="Tablaconcuadrcula"/>
        <w:tblW w:w="2093" w:type="dxa"/>
        <w:jc w:val="center"/>
        <w:tblLayout w:type="fixed"/>
        <w:tblLook w:val="04A0" w:firstRow="1" w:lastRow="0" w:firstColumn="1" w:lastColumn="0" w:noHBand="0" w:noVBand="1"/>
      </w:tblPr>
      <w:tblGrid>
        <w:gridCol w:w="1624"/>
        <w:gridCol w:w="469"/>
      </w:tblGrid>
      <w:tr w:rsidR="004F01D1" w14:paraId="66CD1746" w14:textId="77777777">
        <w:trPr>
          <w:jc w:val="center"/>
        </w:trPr>
        <w:tc>
          <w:tcPr>
            <w:tcW w:w="1624" w:type="dxa"/>
            <w:tcBorders>
              <w:top w:val="nil"/>
              <w:left w:val="nil"/>
              <w:bottom w:val="nil"/>
              <w:right w:val="nil"/>
            </w:tcBorders>
            <w:vAlign w:val="center"/>
          </w:tcPr>
          <w:p w14:paraId="5177DD8F"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r>
                      <w:rPr>
                        <w:rFonts w:ascii="Cambria Math" w:hAnsi="Cambria Math"/>
                      </w:rPr>
                      <m:t>EM=</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v</m:t>
                                    </m:r>
                                  </m:sub>
                                </m:sSub>
                              </m:num>
                              <m:den>
                                <m:sSub>
                                  <m:sSubPr>
                                    <m:ctrlPr>
                                      <w:rPr>
                                        <w:rFonts w:ascii="Cambria Math" w:hAnsi="Cambria Math"/>
                                      </w:rPr>
                                    </m:ctrlPr>
                                  </m:sSubPr>
                                  <m:e>
                                    <m:r>
                                      <w:rPr>
                                        <w:rFonts w:ascii="Cambria Math" w:hAnsi="Cambria Math"/>
                                      </w:rPr>
                                      <m:t>N</m:t>
                                    </m:r>
                                  </m:e>
                                  <m:sub>
                                    <m:r>
                                      <w:rPr>
                                        <w:rFonts w:ascii="Cambria Math" w:hAnsi="Cambria Math"/>
                                      </w:rPr>
                                      <m:t>e</m:t>
                                    </m:r>
                                  </m:sub>
                                </m:sSub>
                              </m:den>
                            </m:f>
                          </m:e>
                        </m:d>
                      </m:e>
                      <m:sub>
                        <m:d>
                          <m:dPr>
                            <m:begChr m:val="["/>
                            <m:endChr m:val="]"/>
                            <m:ctrlPr>
                              <w:rPr>
                                <w:rFonts w:ascii="Cambria Math" w:hAnsi="Cambria Math"/>
                              </w:rPr>
                            </m:ctrlPr>
                          </m:dPr>
                          <m:e>
                            <m:r>
                              <w:rPr>
                                <w:rFonts w:ascii="Cambria Math" w:hAnsi="Cambria Math"/>
                              </w:rPr>
                              <m:t>0,1</m:t>
                            </m:r>
                          </m:e>
                        </m:d>
                      </m:sub>
                    </m:sSub>
                  </m:e>
                </m:eqArr>
              </m:oMath>
            </m:oMathPara>
          </w:p>
        </w:tc>
        <w:tc>
          <w:tcPr>
            <w:tcW w:w="469" w:type="dxa"/>
            <w:tcBorders>
              <w:top w:val="nil"/>
              <w:left w:val="nil"/>
              <w:bottom w:val="nil"/>
              <w:right w:val="nil"/>
            </w:tcBorders>
            <w:vAlign w:val="center"/>
          </w:tcPr>
          <w:p w14:paraId="7E7B99ED"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3</w:t>
            </w:r>
            <w:r>
              <w:rPr>
                <w:lang w:eastAsia="en-US"/>
              </w:rPr>
              <w:fldChar w:fldCharType="end"/>
            </w:r>
            <w:r>
              <w:rPr>
                <w:lang w:eastAsia="en-US"/>
              </w:rPr>
              <w:t>)</w:t>
            </w:r>
          </w:p>
        </w:tc>
      </w:tr>
    </w:tbl>
    <w:p w14:paraId="6502D422" w14:textId="77777777" w:rsidR="004F01D1" w:rsidRDefault="00000000">
      <w:pPr>
        <w:rPr>
          <w:sz w:val="16"/>
          <w:szCs w:val="16"/>
          <w:lang w:eastAsia="en-US"/>
        </w:rPr>
      </w:pPr>
      <w:r>
        <w:rPr>
          <w:sz w:val="16"/>
          <w:szCs w:val="16"/>
          <w:lang w:eastAsia="en-US"/>
        </w:rPr>
        <w:t xml:space="preserve">where </w:t>
      </w:r>
      <m:oMath>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w:t>
      </w:r>
      <w:r>
        <w:rPr>
          <w:sz w:val="16"/>
          <w:szCs w:val="16"/>
          <w:lang w:eastAsia="en-US"/>
        </w:rPr>
        <w:t>denotes the number of living children.</w:t>
      </w:r>
    </w:p>
    <w:p w14:paraId="38911849" w14:textId="77777777" w:rsidR="004F01D1" w:rsidRDefault="004F01D1">
      <w:pPr>
        <w:rPr>
          <w:sz w:val="16"/>
          <w:szCs w:val="16"/>
          <w:lang w:eastAsia="en-US"/>
        </w:rPr>
      </w:pPr>
    </w:p>
    <w:tbl>
      <w:tblPr>
        <w:tblStyle w:val="Tablaconcuadrcula"/>
        <w:tblW w:w="3790" w:type="dxa"/>
        <w:jc w:val="center"/>
        <w:tblLayout w:type="fixed"/>
        <w:tblLook w:val="04A0" w:firstRow="1" w:lastRow="0" w:firstColumn="1" w:lastColumn="0" w:noHBand="0" w:noVBand="1"/>
      </w:tblPr>
      <w:tblGrid>
        <w:gridCol w:w="3321"/>
        <w:gridCol w:w="469"/>
      </w:tblGrid>
      <w:tr w:rsidR="004F01D1" w14:paraId="445DDED1" w14:textId="77777777">
        <w:trPr>
          <w:jc w:val="center"/>
        </w:trPr>
        <w:tc>
          <w:tcPr>
            <w:tcW w:w="3321" w:type="dxa"/>
            <w:tcBorders>
              <w:top w:val="nil"/>
              <w:left w:val="nil"/>
              <w:bottom w:val="nil"/>
              <w:right w:val="nil"/>
            </w:tcBorders>
            <w:vAlign w:val="center"/>
          </w:tcPr>
          <w:p w14:paraId="315D6CA1"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r>
                      <w:rPr>
                        <w:rFonts w:ascii="Cambria Math" w:hAnsi="Cambria Math"/>
                      </w:rPr>
                      <m:t>PRIMIGESTA=</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=1</m:t>
                              </m:r>
                            </m:e>
                          </m:mr>
                          <m:mr>
                            <m:e>
                              <m:r>
                                <w:rPr>
                                  <w:rFonts w:ascii="Cambria Math" w:hAnsi="Cambria Math"/>
                                </w:rPr>
                                <m:t>0,</m:t>
                              </m:r>
                            </m:e>
                            <m:e>
                              <m:r>
                                <w:rPr>
                                  <w:rFonts w:ascii="Cambria Math" w:hAnsi="Cambria Math"/>
                                </w:rPr>
                                <m:t>otherwise</m:t>
                              </m:r>
                            </m:e>
                          </m:mr>
                        </m:m>
                      </m:e>
                    </m:d>
                  </m:e>
                </m:eqArr>
              </m:oMath>
            </m:oMathPara>
          </w:p>
        </w:tc>
        <w:tc>
          <w:tcPr>
            <w:tcW w:w="469" w:type="dxa"/>
            <w:tcBorders>
              <w:top w:val="nil"/>
              <w:left w:val="nil"/>
              <w:bottom w:val="nil"/>
              <w:right w:val="nil"/>
            </w:tcBorders>
            <w:vAlign w:val="center"/>
          </w:tcPr>
          <w:p w14:paraId="681D3A99"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4</w:t>
            </w:r>
            <w:r>
              <w:rPr>
                <w:lang w:eastAsia="en-US"/>
              </w:rPr>
              <w:fldChar w:fldCharType="end"/>
            </w:r>
            <w:r>
              <w:rPr>
                <w:lang w:eastAsia="en-US"/>
              </w:rPr>
              <w:t>)</w:t>
            </w:r>
          </w:p>
        </w:tc>
      </w:tr>
    </w:tbl>
    <w:p w14:paraId="6039CC98" w14:textId="77777777" w:rsidR="004F01D1" w:rsidRDefault="004F01D1">
      <w:pPr>
        <w:rPr>
          <w:sz w:val="16"/>
          <w:szCs w:val="16"/>
          <w:lang w:eastAsia="en-US"/>
        </w:rPr>
      </w:pPr>
    </w:p>
    <w:tbl>
      <w:tblPr>
        <w:tblStyle w:val="Tablaconcuadrcula"/>
        <w:tblW w:w="3838" w:type="dxa"/>
        <w:jc w:val="center"/>
        <w:tblLayout w:type="fixed"/>
        <w:tblLook w:val="04A0" w:firstRow="1" w:lastRow="0" w:firstColumn="1" w:lastColumn="0" w:noHBand="0" w:noVBand="1"/>
      </w:tblPr>
      <w:tblGrid>
        <w:gridCol w:w="3369"/>
        <w:gridCol w:w="469"/>
      </w:tblGrid>
      <w:tr w:rsidR="004F01D1" w14:paraId="1429D671" w14:textId="77777777">
        <w:trPr>
          <w:jc w:val="center"/>
        </w:trPr>
        <w:tc>
          <w:tcPr>
            <w:tcW w:w="3369" w:type="dxa"/>
            <w:tcBorders>
              <w:top w:val="nil"/>
              <w:left w:val="nil"/>
              <w:bottom w:val="nil"/>
              <w:right w:val="nil"/>
            </w:tcBorders>
            <w:vAlign w:val="center"/>
          </w:tcPr>
          <w:p w14:paraId="246AC6CD"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GRAN</m:t>
                        </m:r>
                      </m:e>
                      <m:sub>
                        <m:r>
                          <w:rPr>
                            <w:rFonts w:ascii="Cambria Math" w:hAnsi="Cambria Math"/>
                          </w:rPr>
                          <m:t>MULTIPARA</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≥5</m:t>
                              </m:r>
                            </m:e>
                          </m:mr>
                          <m:mr>
                            <m:e>
                              <m:r>
                                <w:rPr>
                                  <w:rFonts w:ascii="Cambria Math" w:hAnsi="Cambria Math"/>
                                </w:rPr>
                                <m:t>0,</m:t>
                              </m:r>
                            </m:e>
                            <m:e>
                              <m:r>
                                <w:rPr>
                                  <w:rFonts w:ascii="Cambria Math" w:hAnsi="Cambria Math"/>
                                </w:rPr>
                                <m:t>otherwise</m:t>
                              </m:r>
                            </m:e>
                          </m:mr>
                        </m:m>
                      </m:e>
                    </m:d>
                  </m:e>
                </m:eqArr>
              </m:oMath>
            </m:oMathPara>
          </w:p>
        </w:tc>
        <w:tc>
          <w:tcPr>
            <w:tcW w:w="469" w:type="dxa"/>
            <w:tcBorders>
              <w:top w:val="nil"/>
              <w:left w:val="nil"/>
              <w:bottom w:val="nil"/>
              <w:right w:val="nil"/>
            </w:tcBorders>
            <w:vAlign w:val="center"/>
          </w:tcPr>
          <w:p w14:paraId="2F59694F"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5</w:t>
            </w:r>
            <w:r>
              <w:rPr>
                <w:lang w:eastAsia="en-US"/>
              </w:rPr>
              <w:fldChar w:fldCharType="end"/>
            </w:r>
            <w:r>
              <w:rPr>
                <w:lang w:eastAsia="en-US"/>
              </w:rPr>
              <w:t>)</w:t>
            </w:r>
          </w:p>
        </w:tc>
      </w:tr>
    </w:tbl>
    <w:p w14:paraId="24145F41" w14:textId="77777777" w:rsidR="004F01D1" w:rsidRDefault="004F01D1">
      <w:pPr>
        <w:rPr>
          <w:sz w:val="16"/>
          <w:szCs w:val="16"/>
          <w:lang w:eastAsia="en-US"/>
        </w:rPr>
      </w:pPr>
    </w:p>
    <w:tbl>
      <w:tblPr>
        <w:tblStyle w:val="Tablaconcuadrcula"/>
        <w:tblW w:w="4437" w:type="dxa"/>
        <w:jc w:val="center"/>
        <w:tblLayout w:type="fixed"/>
        <w:tblLook w:val="04A0" w:firstRow="1" w:lastRow="0" w:firstColumn="1" w:lastColumn="0" w:noHBand="0" w:noVBand="1"/>
      </w:tblPr>
      <w:tblGrid>
        <w:gridCol w:w="3968"/>
        <w:gridCol w:w="469"/>
      </w:tblGrid>
      <w:tr w:rsidR="004F01D1" w14:paraId="213042CB" w14:textId="77777777">
        <w:trPr>
          <w:jc w:val="center"/>
        </w:trPr>
        <w:tc>
          <w:tcPr>
            <w:tcW w:w="3968" w:type="dxa"/>
            <w:tcBorders>
              <w:top w:val="nil"/>
              <w:left w:val="nil"/>
              <w:bottom w:val="nil"/>
              <w:right w:val="nil"/>
            </w:tcBorders>
            <w:vAlign w:val="center"/>
          </w:tcPr>
          <w:p w14:paraId="3C970EEA"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RIESGO</m:t>
                        </m:r>
                      </m:e>
                      <m:sub>
                        <m:r>
                          <w:rPr>
                            <w:rFonts w:ascii="Cambria Math" w:hAnsi="Cambria Math"/>
                          </w:rPr>
                          <m:t>EXTREMO</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E&lt;15∨E&gt;40</m:t>
                              </m:r>
                            </m:e>
                          </m:mr>
                          <m:mr>
                            <m:e>
                              <m:r>
                                <w:rPr>
                                  <w:rFonts w:ascii="Cambria Math" w:hAnsi="Cambria Math"/>
                                </w:rPr>
                                <m:t>0,</m:t>
                              </m:r>
                            </m:e>
                            <m:e>
                              <m:r>
                                <w:rPr>
                                  <w:rFonts w:ascii="Cambria Math" w:hAnsi="Cambria Math"/>
                                </w:rPr>
                                <m:t>otherwise</m:t>
                              </m:r>
                            </m:e>
                          </m:mr>
                        </m:m>
                      </m:e>
                    </m:d>
                  </m:e>
                </m:eqArr>
              </m:oMath>
            </m:oMathPara>
          </w:p>
        </w:tc>
        <w:tc>
          <w:tcPr>
            <w:tcW w:w="469" w:type="dxa"/>
            <w:tcBorders>
              <w:top w:val="nil"/>
              <w:left w:val="nil"/>
              <w:bottom w:val="nil"/>
              <w:right w:val="nil"/>
            </w:tcBorders>
            <w:vAlign w:val="center"/>
          </w:tcPr>
          <w:p w14:paraId="0A23F9BB"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6</w:t>
            </w:r>
            <w:r>
              <w:rPr>
                <w:lang w:eastAsia="en-US"/>
              </w:rPr>
              <w:fldChar w:fldCharType="end"/>
            </w:r>
            <w:r>
              <w:rPr>
                <w:lang w:eastAsia="en-US"/>
              </w:rPr>
              <w:t>)</w:t>
            </w:r>
          </w:p>
        </w:tc>
      </w:tr>
    </w:tbl>
    <w:p w14:paraId="537F20A4" w14:textId="77777777" w:rsidR="004F01D1" w:rsidRDefault="00000000">
      <w:pPr>
        <w:rPr>
          <w:sz w:val="16"/>
          <w:szCs w:val="16"/>
          <w:lang w:eastAsia="en-US"/>
        </w:rPr>
      </w:pPr>
      <w:r>
        <w:rPr>
          <w:sz w:val="16"/>
          <w:szCs w:val="16"/>
          <w:lang w:eastAsia="en-US"/>
        </w:rPr>
        <w:t xml:space="preserve">where </w:t>
      </w:r>
      <m:oMath>
        <m:r>
          <w:rPr>
            <w:rFonts w:ascii="Cambria Math" w:hAnsi="Cambria Math"/>
          </w:rPr>
          <m:t>E</m:t>
        </m:r>
      </m:oMath>
      <w:r>
        <w:t xml:space="preserve"> </w:t>
      </w:r>
      <w:r>
        <w:rPr>
          <w:sz w:val="16"/>
          <w:szCs w:val="16"/>
          <w:lang w:eastAsia="en-US"/>
        </w:rPr>
        <w:t>denotes maternal age.</w:t>
      </w:r>
    </w:p>
    <w:p w14:paraId="4F140493" w14:textId="77777777" w:rsidR="004F01D1" w:rsidRDefault="004F01D1">
      <w:pPr>
        <w:rPr>
          <w:sz w:val="16"/>
          <w:szCs w:val="16"/>
          <w:lang w:eastAsia="en-US"/>
        </w:rPr>
      </w:pPr>
    </w:p>
    <w:tbl>
      <w:tblPr>
        <w:tblStyle w:val="Tablaconcuadrcula"/>
        <w:tblW w:w="4934" w:type="dxa"/>
        <w:jc w:val="center"/>
        <w:tblLayout w:type="fixed"/>
        <w:tblLook w:val="04A0" w:firstRow="1" w:lastRow="0" w:firstColumn="1" w:lastColumn="0" w:noHBand="0" w:noVBand="1"/>
      </w:tblPr>
      <w:tblGrid>
        <w:gridCol w:w="4465"/>
        <w:gridCol w:w="469"/>
      </w:tblGrid>
      <w:tr w:rsidR="004F01D1" w14:paraId="1A111EC4" w14:textId="77777777">
        <w:trPr>
          <w:jc w:val="center"/>
        </w:trPr>
        <w:tc>
          <w:tcPr>
            <w:tcW w:w="4465" w:type="dxa"/>
            <w:tcBorders>
              <w:top w:val="nil"/>
              <w:left w:val="nil"/>
              <w:bottom w:val="nil"/>
              <w:right w:val="nil"/>
            </w:tcBorders>
            <w:vAlign w:val="center"/>
          </w:tcPr>
          <w:p w14:paraId="4E0062CE" w14:textId="77777777" w:rsidR="004F01D1" w:rsidRDefault="00000000">
            <w:pPr>
              <w:ind w:firstLine="0"/>
              <w:jc w:val="center"/>
              <w:rPr>
                <w:sz w:val="16"/>
                <w:szCs w:val="16"/>
                <w:lang w:eastAsia="en-US"/>
              </w:rP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ANTECEDENTE</m:t>
                        </m:r>
                      </m:e>
                      <m:sub>
                        <m:r>
                          <w:rPr>
                            <w:rFonts w:ascii="Cambria Math" w:hAnsi="Cambria Math"/>
                          </w:rPr>
                          <m:t>PERDIDA</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&gt;0∨</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&gt;0</m:t>
                              </m:r>
                            </m:e>
                          </m:mr>
                          <m:mr>
                            <m:e>
                              <m:r>
                                <w:rPr>
                                  <w:rFonts w:ascii="Cambria Math" w:hAnsi="Cambria Math"/>
                                </w:rPr>
                                <m:t>0,</m:t>
                              </m:r>
                            </m:e>
                            <m:e>
                              <m:r>
                                <w:rPr>
                                  <w:rFonts w:ascii="Cambria Math" w:hAnsi="Cambria Math"/>
                                </w:rPr>
                                <m:t>otherwise</m:t>
                              </m:r>
                            </m:e>
                          </m:mr>
                        </m:m>
                      </m:e>
                    </m:d>
                  </m:e>
                </m:eqArr>
              </m:oMath>
            </m:oMathPara>
          </w:p>
        </w:tc>
        <w:tc>
          <w:tcPr>
            <w:tcW w:w="469" w:type="dxa"/>
            <w:tcBorders>
              <w:top w:val="nil"/>
              <w:left w:val="nil"/>
              <w:bottom w:val="nil"/>
              <w:right w:val="nil"/>
            </w:tcBorders>
            <w:vAlign w:val="center"/>
          </w:tcPr>
          <w:p w14:paraId="7FDB45C9" w14:textId="77777777" w:rsidR="004F01D1" w:rsidRDefault="00000000">
            <w:pPr>
              <w:ind w:firstLine="0"/>
              <w:jc w:val="center"/>
              <w:rPr>
                <w:lang w:eastAsia="en-US"/>
              </w:rPr>
            </w:pPr>
            <w:r>
              <w:rPr>
                <w:lang w:eastAsia="en-US"/>
              </w:rPr>
              <w:t>(</w:t>
            </w:r>
            <w:r>
              <w:rPr>
                <w:lang w:eastAsia="en-US"/>
              </w:rPr>
              <w:fldChar w:fldCharType="begin"/>
            </w:r>
            <w:r>
              <w:rPr>
                <w:lang w:eastAsia="en-US"/>
              </w:rPr>
              <w:instrText xml:space="preserve"> SEQ Ecu \* ARABIC </w:instrText>
            </w:r>
            <w:r>
              <w:rPr>
                <w:lang w:eastAsia="en-US"/>
              </w:rPr>
              <w:fldChar w:fldCharType="separate"/>
            </w:r>
            <w:r>
              <w:rPr>
                <w:lang w:eastAsia="en-US"/>
              </w:rPr>
              <w:t>7</w:t>
            </w:r>
            <w:r>
              <w:rPr>
                <w:lang w:eastAsia="en-US"/>
              </w:rPr>
              <w:fldChar w:fldCharType="end"/>
            </w:r>
            <w:r>
              <w:rPr>
                <w:lang w:eastAsia="en-US"/>
              </w:rPr>
              <w:t>)</w:t>
            </w:r>
          </w:p>
        </w:tc>
      </w:tr>
    </w:tbl>
    <w:p w14:paraId="1DD60AAA" w14:textId="77777777" w:rsidR="004F01D1" w:rsidRDefault="004F01D1">
      <w:pPr>
        <w:rPr>
          <w:lang w:eastAsia="en-US"/>
        </w:rPr>
      </w:pPr>
    </w:p>
    <w:p w14:paraId="3763DDD8" w14:textId="77777777" w:rsidR="004F01D1" w:rsidRDefault="00000000">
      <w:pPr>
        <w:rPr>
          <w:lang w:eastAsia="en-US"/>
        </w:rPr>
      </w:pPr>
      <w:r>
        <w:rPr>
          <w:lang w:eastAsia="en-US"/>
        </w:rPr>
        <w:t xml:space="preserve">Additionally, four interaction terms were incorporated: maternal age × sum of reproductive losses, maternal age × previous pregnancies, sum of reproductive losses × primigravida status, and fetal loss rate × extreme maternal risk indicator. Two quadratic terms, corresponding to maternal age and the sum of reproductive losses, were also included to capture nonlinear relationships without relying exclusively on the inductive capacity of tree-based models. </w:t>
      </w:r>
    </w:p>
    <w:p w14:paraId="0D428941" w14:textId="77777777" w:rsidR="004F01D1" w:rsidRDefault="00000000">
      <w:pPr>
        <w:rPr>
          <w:lang w:eastAsia="en-US"/>
        </w:rPr>
      </w:pPr>
      <w:r>
        <w:rPr>
          <w:lang w:eastAsia="en-US"/>
        </w:rPr>
        <w:t xml:space="preserve">The inclusion of these terms follows methodological recommendations from applied regression </w:t>
      </w:r>
      <w:r>
        <w:fldChar w:fldCharType="begin"/>
      </w:r>
      <w:r>
        <w:rPr>
          <w:lang w:eastAsia="en-US"/>
        </w:rPr>
        <w:instrText>ADDIN ZOTERO_ITEM CSL_CITATION {"citationID":"UOfoPg9A","properties":{"unsorted":false,"formattedCitation":"[25]","plainCitation":"[25]","noteIndex":0},"citationItems":[{"id":253,"uris":["http://zotero.org/users/local/0z44BwR0/items/SIMZG9F8"],"itemData":{"id":253,"type":"book","edition":"3rd","ISBN":"978-0-470-58247-3","publisher":"Wiley","title":"Applied Logistic Regression","author":[{"family":"Hosmer","given":"David W."},{"family":"Lemeshow","given":"Stanley"},{"family":"Sturdivant","given":"Rodney X."}],"issued":{"date-parts":[["2013"]]}}}],"schema":"https://github.com/citation-style-language/schema/raw/master/csl-citation.json"}</w:instrText>
      </w:r>
      <w:r>
        <w:rPr>
          <w:lang w:eastAsia="en-US"/>
        </w:rPr>
        <w:fldChar w:fldCharType="separate"/>
      </w:r>
      <w:r>
        <w:rPr>
          <w:lang w:eastAsia="en-US"/>
        </w:rPr>
        <w:t>[25]</w:t>
      </w:r>
      <w:r>
        <w:rPr>
          <w:lang w:eastAsia="en-US"/>
        </w:rPr>
        <w:fldChar w:fldCharType="end"/>
      </w:r>
      <w:r>
        <w:rPr>
          <w:lang w:eastAsia="en-US"/>
        </w:rPr>
        <w:t xml:space="preserve">, polynomial modeling approaches </w:t>
      </w:r>
      <w:r>
        <w:fldChar w:fldCharType="begin"/>
      </w:r>
      <w:r>
        <w:rPr>
          <w:lang w:eastAsia="en-US"/>
        </w:rPr>
        <w:instrText>ADDIN ZOTERO_ITEM CSL_CITATION {"citationID":"mM75ylZq","properties":{"unsorted":false,"formattedCitation":"[26]","plainCitation":"[26]","noteIndex":0},"citationItems":[{"id":251,"uris":["http://zotero.org/users/local/0z44BwR0/items/5K4UPKYP"],"itemData":{"id":251,"type":"book","collection-title":"Wiley series in probability and statistics","ISBN":"978-0-470-77078-8","language":"eng","number-of-pages":"303","publisher":"John Wiley","publisher-place":"Chichester, England","source":"K10plus ISBN","title":"Multivariable model-building: a pragmatic approach to regression analysis based on fractional polynomials for modelling continuous variables","title-short":"Multivariable model-building","author":[{"family":"Royston","given":"Patrick"}],"contributor":[{"family":"Sauerbrei","given":"Wilhelm F."}],"issued":{"date-parts":[["2008"]]}}}],"schema":"https://github.com/citation-style-language/schema/raw/master/csl-citation.json"}</w:instrText>
      </w:r>
      <w:r>
        <w:rPr>
          <w:lang w:eastAsia="en-US"/>
        </w:rPr>
        <w:fldChar w:fldCharType="separate"/>
      </w:r>
      <w:r>
        <w:rPr>
          <w:lang w:eastAsia="en-US"/>
        </w:rPr>
        <w:t>[26]</w:t>
      </w:r>
      <w:r>
        <w:rPr>
          <w:lang w:eastAsia="en-US"/>
        </w:rPr>
        <w:fldChar w:fldCharType="end"/>
      </w:r>
      <w:r>
        <w:rPr>
          <w:lang w:eastAsia="en-US"/>
        </w:rPr>
        <w:t xml:space="preserve">, and epidemiological evidence on factor interactions </w:t>
      </w:r>
      <w:r>
        <w:fldChar w:fldCharType="begin"/>
      </w:r>
      <w:r>
        <w:rPr>
          <w:lang w:eastAsia="en-US"/>
        </w:rPr>
        <w:instrText>ADDIN ZOTERO_ITEM CSL_CITATION {"citationID":"7xXfAlt1","properties":{"unsorted":false,"formattedCitation":"[27]","plainCitation":"[27]","noteIndex":0},"citationItems":[{"id":254,"uris":["http://zotero.org/users/local/0z44BwR0/items/LVQ46WHL"],"itemData":{"id":254,"type":"article-journal","container-title":"Epidemiology","DOI":"10.1097/EDE.0b013e318193e7b5","ISSN":"1044-3983","issue":"1","language":"en","page":"14-17","source":"DOI.org (Crossref)","title":"Interactions in Epidemiology: Relevance, Identification, and Estimation","title-short":"Interactions in Epidemiology","URL":"https://journals.lww.com/00001648-200901000-00005","volume":"20","author":[{"family":"Greenland","given":"Sander"}],"accessed":{"date-parts":[["2026",7,27]]},"issued":{"date-parts":[["2009",1]]}}}],"schema":"https://github.com/citation-style-language/schema/raw/master/csl-citation.json"}</w:instrText>
      </w:r>
      <w:r>
        <w:rPr>
          <w:lang w:eastAsia="en-US"/>
        </w:rPr>
        <w:fldChar w:fldCharType="separate"/>
      </w:r>
      <w:r>
        <w:rPr>
          <w:lang w:eastAsia="en-US"/>
        </w:rPr>
        <w:t>[27]</w:t>
      </w:r>
      <w:r>
        <w:rPr>
          <w:lang w:eastAsia="en-US"/>
        </w:rPr>
        <w:fldChar w:fldCharType="end"/>
      </w:r>
      <w:r>
        <w:rPr>
          <w:lang w:eastAsia="en-US"/>
        </w:rPr>
        <w:t>.</w:t>
      </w:r>
    </w:p>
    <w:p w14:paraId="4C9837A9" w14:textId="77777777" w:rsidR="004F01D1" w:rsidRDefault="00000000">
      <w:pPr>
        <w:rPr>
          <w:lang w:eastAsia="en-US"/>
        </w:rPr>
      </w:pPr>
      <w:r>
        <w:rPr>
          <w:lang w:eastAsia="en-US"/>
        </w:rPr>
        <w:t>Before encoding, categories with a relative frequency below 1% in the training period were grouped as OTRO_RARO for maternal education, delivery funding source, and place of birth. The latter two variables are retained here only as delivery-context registry features, not as antenatal predictors.</w:t>
      </w:r>
    </w:p>
    <w:p w14:paraId="069C3F51" w14:textId="77777777" w:rsidR="004F01D1" w:rsidRDefault="00000000">
      <w:pPr>
        <w:rPr>
          <w:lang w:eastAsia="en-US"/>
        </w:rPr>
      </w:pPr>
      <w:r>
        <w:rPr>
          <w:lang w:eastAsia="en-US"/>
        </w:rPr>
        <w:t>Subsequently, categorical variables were imputed using the most frequent category and encoded using one-hot encoding, with categories representing less than 0.1% of the training set (approximately 4,500 observations) removed. Numerical variables were imputed using the median and subsequently standardized.</w:t>
      </w:r>
    </w:p>
    <w:p w14:paraId="3335AFA3" w14:textId="77777777" w:rsidR="004F01D1" w:rsidRDefault="00000000">
      <w:pPr>
        <w:rPr>
          <w:lang w:eastAsia="en-US"/>
        </w:rPr>
      </w:pPr>
      <w:r>
        <w:rPr>
          <w:lang w:eastAsia="en-US"/>
        </w:rPr>
        <w:t>All preprocessing operations were fitted on records from 2015–2024. Exploratory analysis was used for descriptive quality checks. Statistical preprocessing isolation does not resolve the separate issue of whether a predictor would be known before delivery.</w:t>
      </w:r>
    </w:p>
    <w:p w14:paraId="2D9FD64F" w14:textId="77777777" w:rsidR="004F01D1" w:rsidRDefault="00000000">
      <w:pPr>
        <w:pStyle w:val="Ttulo2"/>
        <w:rPr>
          <w:lang w:eastAsia="en-US"/>
        </w:rPr>
      </w:pPr>
      <w:r>
        <w:rPr>
          <w:lang w:eastAsia="en-US"/>
        </w:rPr>
        <w:t>E.</w:t>
      </w:r>
      <w:r>
        <w:rPr>
          <w:lang w:eastAsia="en-US"/>
        </w:rPr>
        <w:tab/>
        <w:t>Predictive Models</w:t>
      </w:r>
    </w:p>
    <w:p w14:paraId="67ED6339" w14:textId="77777777" w:rsidR="004F01D1" w:rsidRDefault="00000000">
      <w:pPr>
        <w:rPr>
          <w:lang w:eastAsia="en-US"/>
        </w:rPr>
      </w:pPr>
      <w:r>
        <w:rPr>
          <w:lang w:eastAsia="en-US"/>
        </w:rPr>
        <w:t xml:space="preserve">Eight machine learning algorithms representing different families of classifiers were evaluated, including linear models, decision tree-based methods, ensemble methods, and boosting techniques. This set combines an interpretable linear model as a baseline with tree-based ensemble methods selected for their consistently strong performance on tabular classification tasks. </w:t>
      </w:r>
    </w:p>
    <w:p w14:paraId="19046956" w14:textId="77777777" w:rsidR="004F01D1" w:rsidRDefault="00000000">
      <w:pPr>
        <w:rPr>
          <w:lang w:eastAsia="en-US"/>
        </w:rPr>
      </w:pPr>
      <w:r>
        <w:rPr>
          <w:lang w:eastAsia="en-US"/>
        </w:rPr>
        <w:t>Consistent with recent evidence, deep neural networks were not included because, for this type of data, tree-based models generally achieve comparable or superior performance while requiring lower training complexity.</w:t>
      </w:r>
    </w:p>
    <w:p w14:paraId="5949C3BC" w14:textId="77777777" w:rsidR="004F01D1" w:rsidRDefault="00000000">
      <w:pPr>
        <w:pStyle w:val="TableCaption"/>
        <w:rPr>
          <w:lang w:eastAsia="en-US"/>
        </w:rPr>
      </w:pPr>
      <w:r>
        <w:rPr>
          <w:lang w:eastAsia="en-US"/>
        </w:rPr>
        <w:t>Table II. Predictive Models Evaluated</w:t>
      </w:r>
    </w:p>
    <w:tbl>
      <w:tblPr>
        <w:tblStyle w:val="Estilo1"/>
        <w:tblLook w:val="04A0" w:firstRow="1" w:lastRow="0" w:firstColumn="1" w:lastColumn="0" w:noHBand="0" w:noVBand="1"/>
        <w:tblW w:w="4300" w:type="dxa"/>
        <w:tblInd w:w="0" w:type="dxa"/>
        <w:tblLayout w:type="fixed"/>
      </w:tblPr>
      <w:tblGrid>
        <w:gridCol w:w="1250"/>
        <w:gridCol w:w="750"/>
        <w:gridCol w:w="950"/>
        <w:gridCol w:w="1350"/>
      </w:tblGrid>
      <w:tr w:rsidR="004F01D1" w14:paraId="3E47D557"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250" w:type="dxa"/>
            <w:tcBorders>
              <w:bottom w:val="single" w:sz="4" w:space="0" w:color="000000"/>
            </w:tcBorders>
            <w:tcMar>
              <w:top w:w="0" w:type="dxa"/>
              <w:left w:w="36" w:type="dxa"/>
              <w:bottom w:w="0" w:type="dxa"/>
              <w:right w:w="36" w:type="dxa"/>
            </w:tcMar>
            <w:vAlign w:val="center"/>
          </w:tcPr>
          <w:p w14:paraId="7DE6E5AD" w14:textId="77777777" w:rsidR="004F01D1" w:rsidRDefault="00000000">
            <w:pPr>
              <w:spacing w:before="36" w:after="36"/>
              <w:ind w:firstLine="0"/>
              <w:jc w:val="left"/>
              <w:rPr>
                <w:bCs/>
                <w:sz w:val="14"/>
                <w:szCs w:val="14"/>
                <w:lang w:val="es-PE" w:eastAsia="en-US"/>
              </w:rPr>
            </w:pPr>
            <w:r>
              <w:rPr>
                <w:rFonts w:ascii="Times New Roman" w:hAnsi="Times New Roman"/>
                <w:b/>
                <w:bCs/>
                <w:sz w:val="13"/>
                <w:szCs w:val="14"/>
                <w:lang w:val="es-PE" w:eastAsia="en-US"/>
              </w:rPr>
              <w:t>Model</w:t>
            </w:r>
          </w:p>
        </w:tc>
        <w:tc>
          <w:tcPr>
            <w:tcW w:w="750" w:type="dxa"/>
            <w:tcBorders>
              <w:bottom w:val="single" w:sz="4" w:space="0" w:color="000000"/>
            </w:tcBorders>
            <w:tcMar>
              <w:top w:w="0" w:type="dxa"/>
              <w:left w:w="36" w:type="dxa"/>
              <w:bottom w:w="0" w:type="dxa"/>
              <w:right w:w="36" w:type="dxa"/>
            </w:tcMar>
            <w:vAlign w:val="center"/>
          </w:tcPr>
          <w:p w14:paraId="1E060AA5" w14:textId="77777777" w:rsidR="004F01D1" w:rsidRDefault="00000000">
            <w:pPr>
              <w:spacing w:before="36" w:after="36"/>
              <w:ind w:firstLine="0"/>
              <w:jc w:val="center"/>
              <w:rPr>
                <w:bCs/>
                <w:sz w:val="14"/>
                <w:szCs w:val="14"/>
                <w:lang w:val="es-PE" w:eastAsia="en-US"/>
              </w:rPr>
            </w:pPr>
            <w:r>
              <w:rPr>
                <w:rFonts w:ascii="Times New Roman" w:hAnsi="Times New Roman"/>
                <w:b/>
                <w:bCs/>
                <w:sz w:val="13"/>
                <w:szCs w:val="14"/>
                <w:lang w:val="es-PE" w:eastAsia="en-US"/>
              </w:rPr>
              <w:t>Abbreviation</w:t>
            </w:r>
          </w:p>
        </w:tc>
        <w:tc>
          <w:tcPr>
            <w:tcW w:w="950" w:type="dxa"/>
            <w:tcBorders>
              <w:bottom w:val="single" w:sz="4" w:space="0" w:color="000000"/>
            </w:tcBorders>
            <w:tcMar>
              <w:top w:w="0" w:type="dxa"/>
              <w:left w:w="36" w:type="dxa"/>
              <w:bottom w:w="0" w:type="dxa"/>
              <w:right w:w="36" w:type="dxa"/>
            </w:tcMar>
            <w:vAlign w:val="center"/>
          </w:tcPr>
          <w:p w14:paraId="68D32BE3" w14:textId="77777777" w:rsidR="004F01D1" w:rsidRDefault="00000000">
            <w:pPr>
              <w:spacing w:before="36" w:after="36"/>
              <w:ind w:firstLine="0"/>
              <w:jc w:val="center"/>
              <w:rPr>
                <w:bCs/>
                <w:sz w:val="14"/>
                <w:szCs w:val="14"/>
                <w:lang w:val="es-PE" w:eastAsia="en-US"/>
              </w:rPr>
            </w:pPr>
            <w:r>
              <w:rPr>
                <w:rFonts w:ascii="Times New Roman" w:hAnsi="Times New Roman"/>
                <w:b/>
                <w:bCs/>
                <w:sz w:val="13"/>
                <w:szCs w:val="14"/>
                <w:lang w:val="es-PE" w:eastAsia="en-US"/>
              </w:rPr>
              <w:t>Family</w:t>
            </w:r>
          </w:p>
        </w:tc>
        <w:tc>
          <w:tcPr>
            <w:tcW w:w="1350" w:type="dxa"/>
            <w:tcBorders>
              <w:bottom w:val="single" w:sz="4" w:space="0" w:color="000000"/>
            </w:tcBorders>
            <w:tcMar>
              <w:top w:w="0" w:type="dxa"/>
              <w:left w:w="36" w:type="dxa"/>
              <w:bottom w:w="0" w:type="dxa"/>
              <w:right w:w="36" w:type="dxa"/>
            </w:tcMar>
            <w:vAlign w:val="center"/>
          </w:tcPr>
          <w:p w14:paraId="08479C67" w14:textId="77777777" w:rsidR="004F01D1" w:rsidRDefault="00000000">
            <w:pPr>
              <w:spacing w:before="36" w:after="36"/>
              <w:ind w:firstLine="0"/>
              <w:jc w:val="center"/>
              <w:rPr>
                <w:bCs/>
                <w:sz w:val="14"/>
                <w:szCs w:val="14"/>
                <w:lang w:val="es-PE" w:eastAsia="en-US"/>
              </w:rPr>
            </w:pPr>
            <w:r>
              <w:rPr>
                <w:rFonts w:ascii="Times New Roman" w:hAnsi="Times New Roman"/>
                <w:b/>
                <w:bCs/>
                <w:sz w:val="13"/>
                <w:szCs w:val="14"/>
                <w:lang w:val="es-PE" w:eastAsia="en-US"/>
              </w:rPr>
              <w:t>Main Characteristics</w:t>
            </w:r>
          </w:p>
        </w:tc>
      </w:tr>
      <w:tr w:rsidR="004F01D1" w14:paraId="58C724F6" w14:textId="77777777" w:rsidTr="004F01D1">
        <w:tc>
          <w:tcPr>
            <w:tcW w:w="1250" w:type="dxa"/>
            <w:tcMar>
              <w:top w:w="0" w:type="dxa"/>
              <w:left w:w="36" w:type="dxa"/>
              <w:bottom w:w="0" w:type="dxa"/>
              <w:right w:w="36" w:type="dxa"/>
            </w:tcMar>
            <w:vAlign w:val="center"/>
          </w:tcPr>
          <w:p w14:paraId="64D02DBD"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Logistic Regression</w:t>
            </w:r>
          </w:p>
        </w:tc>
        <w:tc>
          <w:tcPr>
            <w:tcW w:w="750" w:type="dxa"/>
            <w:tcMar>
              <w:top w:w="0" w:type="dxa"/>
              <w:left w:w="36" w:type="dxa"/>
              <w:bottom w:w="0" w:type="dxa"/>
              <w:right w:w="36" w:type="dxa"/>
            </w:tcMar>
            <w:vAlign w:val="center"/>
          </w:tcPr>
          <w:p w14:paraId="2177A246"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LR</w:t>
            </w:r>
          </w:p>
        </w:tc>
        <w:tc>
          <w:tcPr>
            <w:tcW w:w="950" w:type="dxa"/>
            <w:tcMar>
              <w:top w:w="0" w:type="dxa"/>
              <w:left w:w="36" w:type="dxa"/>
              <w:bottom w:w="0" w:type="dxa"/>
              <w:right w:w="36" w:type="dxa"/>
            </w:tcMar>
            <w:vAlign w:val="center"/>
          </w:tcPr>
          <w:p w14:paraId="05991F84"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Linear model</w:t>
            </w:r>
          </w:p>
        </w:tc>
        <w:tc>
          <w:tcPr>
            <w:tcW w:w="1350" w:type="dxa"/>
            <w:tcMar>
              <w:top w:w="0" w:type="dxa"/>
              <w:left w:w="36" w:type="dxa"/>
              <w:bottom w:w="0" w:type="dxa"/>
              <w:right w:w="36" w:type="dxa"/>
            </w:tcMar>
            <w:vAlign w:val="center"/>
          </w:tcPr>
          <w:p w14:paraId="5E5AB463"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Common baseline for binary classification</w:t>
            </w:r>
          </w:p>
        </w:tc>
      </w:tr>
      <w:tr w:rsidR="004F01D1" w14:paraId="24421FF2" w14:textId="77777777" w:rsidTr="004F01D1">
        <w:tc>
          <w:tcPr>
            <w:tcW w:w="1250" w:type="dxa"/>
            <w:tcMar>
              <w:top w:w="0" w:type="dxa"/>
              <w:left w:w="36" w:type="dxa"/>
              <w:bottom w:w="0" w:type="dxa"/>
              <w:right w:w="36" w:type="dxa"/>
            </w:tcMar>
            <w:vAlign w:val="center"/>
          </w:tcPr>
          <w:p w14:paraId="6AE1D9E4"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Extra Trees</w:t>
            </w:r>
          </w:p>
        </w:tc>
        <w:tc>
          <w:tcPr>
            <w:tcW w:w="750" w:type="dxa"/>
            <w:tcMar>
              <w:top w:w="0" w:type="dxa"/>
              <w:left w:w="36" w:type="dxa"/>
              <w:bottom w:w="0" w:type="dxa"/>
              <w:right w:w="36" w:type="dxa"/>
            </w:tcMar>
            <w:vAlign w:val="center"/>
          </w:tcPr>
          <w:p w14:paraId="7570E893"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ET</w:t>
            </w:r>
          </w:p>
        </w:tc>
        <w:tc>
          <w:tcPr>
            <w:tcW w:w="950" w:type="dxa"/>
            <w:tcMar>
              <w:top w:w="0" w:type="dxa"/>
              <w:left w:w="36" w:type="dxa"/>
              <w:bottom w:w="0" w:type="dxa"/>
              <w:right w:w="36" w:type="dxa"/>
            </w:tcMar>
            <w:vAlign w:val="center"/>
          </w:tcPr>
          <w:p w14:paraId="07974D36"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Ensemble (Bagging)</w:t>
            </w:r>
          </w:p>
        </w:tc>
        <w:tc>
          <w:tcPr>
            <w:tcW w:w="1350" w:type="dxa"/>
            <w:tcMar>
              <w:top w:w="0" w:type="dxa"/>
              <w:left w:w="36" w:type="dxa"/>
              <w:bottom w:w="0" w:type="dxa"/>
              <w:right w:w="36" w:type="dxa"/>
            </w:tcMar>
            <w:vAlign w:val="center"/>
          </w:tcPr>
          <w:p w14:paraId="5279C331"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Highly randomized trees to reduce variance</w:t>
            </w:r>
          </w:p>
        </w:tc>
      </w:tr>
      <w:tr w:rsidR="004F01D1" w14:paraId="6489ACE2" w14:textId="77777777" w:rsidTr="004F01D1">
        <w:tc>
          <w:tcPr>
            <w:tcW w:w="1250" w:type="dxa"/>
            <w:tcMar>
              <w:top w:w="0" w:type="dxa"/>
              <w:left w:w="36" w:type="dxa"/>
              <w:bottom w:w="0" w:type="dxa"/>
              <w:right w:w="36" w:type="dxa"/>
            </w:tcMar>
            <w:vAlign w:val="center"/>
          </w:tcPr>
          <w:p w14:paraId="17D04508"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Random Forest</w:t>
            </w:r>
          </w:p>
        </w:tc>
        <w:tc>
          <w:tcPr>
            <w:tcW w:w="750" w:type="dxa"/>
            <w:tcMar>
              <w:top w:w="0" w:type="dxa"/>
              <w:left w:w="36" w:type="dxa"/>
              <w:bottom w:w="0" w:type="dxa"/>
              <w:right w:w="36" w:type="dxa"/>
            </w:tcMar>
            <w:vAlign w:val="center"/>
          </w:tcPr>
          <w:p w14:paraId="2BF50DA3"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RF</w:t>
            </w:r>
          </w:p>
        </w:tc>
        <w:tc>
          <w:tcPr>
            <w:tcW w:w="950" w:type="dxa"/>
            <w:tcMar>
              <w:top w:w="0" w:type="dxa"/>
              <w:left w:w="36" w:type="dxa"/>
              <w:bottom w:w="0" w:type="dxa"/>
              <w:right w:w="36" w:type="dxa"/>
            </w:tcMar>
            <w:vAlign w:val="center"/>
          </w:tcPr>
          <w:p w14:paraId="7318F5DC"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Ensemble (Bagging)</w:t>
            </w:r>
          </w:p>
        </w:tc>
        <w:tc>
          <w:tcPr>
            <w:tcW w:w="1350" w:type="dxa"/>
            <w:tcMar>
              <w:top w:w="0" w:type="dxa"/>
              <w:left w:w="36" w:type="dxa"/>
              <w:bottom w:w="0" w:type="dxa"/>
              <w:right w:w="36" w:type="dxa"/>
            </w:tcMar>
            <w:vAlign w:val="center"/>
          </w:tcPr>
          <w:p w14:paraId="1F9CFC59"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Averages multiple trees using bagging</w:t>
            </w:r>
          </w:p>
        </w:tc>
      </w:tr>
      <w:tr w:rsidR="004F01D1" w14:paraId="777A28E6" w14:textId="77777777" w:rsidTr="004F01D1">
        <w:tc>
          <w:tcPr>
            <w:tcW w:w="1250" w:type="dxa"/>
            <w:tcMar>
              <w:top w:w="0" w:type="dxa"/>
              <w:left w:w="36" w:type="dxa"/>
              <w:bottom w:w="0" w:type="dxa"/>
              <w:right w:w="36" w:type="dxa"/>
            </w:tcMar>
            <w:vAlign w:val="center"/>
          </w:tcPr>
          <w:p w14:paraId="10BA500B"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Balanced Random Forest</w:t>
            </w:r>
          </w:p>
        </w:tc>
        <w:tc>
          <w:tcPr>
            <w:tcW w:w="750" w:type="dxa"/>
            <w:tcMar>
              <w:top w:w="0" w:type="dxa"/>
              <w:left w:w="36" w:type="dxa"/>
              <w:bottom w:w="0" w:type="dxa"/>
              <w:right w:w="36" w:type="dxa"/>
            </w:tcMar>
            <w:vAlign w:val="center"/>
          </w:tcPr>
          <w:p w14:paraId="569D65B9"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BRF</w:t>
            </w:r>
          </w:p>
        </w:tc>
        <w:tc>
          <w:tcPr>
            <w:tcW w:w="950" w:type="dxa"/>
            <w:tcMar>
              <w:top w:w="0" w:type="dxa"/>
              <w:left w:w="36" w:type="dxa"/>
              <w:bottom w:w="0" w:type="dxa"/>
              <w:right w:w="36" w:type="dxa"/>
            </w:tcMar>
            <w:vAlign w:val="center"/>
          </w:tcPr>
          <w:p w14:paraId="6F545F18"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Balanced ensemble (Bagging)</w:t>
            </w:r>
          </w:p>
        </w:tc>
        <w:tc>
          <w:tcPr>
            <w:tcW w:w="1350" w:type="dxa"/>
            <w:tcMar>
              <w:top w:w="0" w:type="dxa"/>
              <w:left w:w="36" w:type="dxa"/>
              <w:bottom w:w="0" w:type="dxa"/>
              <w:right w:w="36" w:type="dxa"/>
            </w:tcMar>
            <w:vAlign w:val="center"/>
          </w:tcPr>
          <w:p w14:paraId="12D10359"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Balances classes through undersampling within each tree</w:t>
            </w:r>
          </w:p>
        </w:tc>
      </w:tr>
      <w:tr w:rsidR="004F01D1" w14:paraId="16F332F2" w14:textId="77777777" w:rsidTr="004F01D1">
        <w:tc>
          <w:tcPr>
            <w:tcW w:w="1250" w:type="dxa"/>
            <w:tcMar>
              <w:top w:w="0" w:type="dxa"/>
              <w:left w:w="36" w:type="dxa"/>
              <w:bottom w:w="0" w:type="dxa"/>
              <w:right w:w="36" w:type="dxa"/>
            </w:tcMar>
            <w:vAlign w:val="center"/>
          </w:tcPr>
          <w:p w14:paraId="247FE8E8"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XGBoost</w:t>
            </w:r>
          </w:p>
        </w:tc>
        <w:tc>
          <w:tcPr>
            <w:tcW w:w="750" w:type="dxa"/>
            <w:tcMar>
              <w:top w:w="0" w:type="dxa"/>
              <w:left w:w="36" w:type="dxa"/>
              <w:bottom w:w="0" w:type="dxa"/>
              <w:right w:w="36" w:type="dxa"/>
            </w:tcMar>
            <w:vAlign w:val="center"/>
          </w:tcPr>
          <w:p w14:paraId="5A16CEBE"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XGB</w:t>
            </w:r>
          </w:p>
        </w:tc>
        <w:tc>
          <w:tcPr>
            <w:tcW w:w="950" w:type="dxa"/>
            <w:tcMar>
              <w:top w:w="0" w:type="dxa"/>
              <w:left w:w="36" w:type="dxa"/>
              <w:bottom w:w="0" w:type="dxa"/>
              <w:right w:w="36" w:type="dxa"/>
            </w:tcMar>
            <w:vAlign w:val="center"/>
          </w:tcPr>
          <w:p w14:paraId="38062D49"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Gradient Boosting</w:t>
            </w:r>
          </w:p>
        </w:tc>
        <w:tc>
          <w:tcPr>
            <w:tcW w:w="1350" w:type="dxa"/>
            <w:tcMar>
              <w:top w:w="0" w:type="dxa"/>
              <w:left w:w="36" w:type="dxa"/>
              <w:bottom w:w="0" w:type="dxa"/>
              <w:right w:w="36" w:type="dxa"/>
            </w:tcMar>
            <w:vAlign w:val="center"/>
          </w:tcPr>
          <w:p w14:paraId="60041053"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Sequential optimization using regularized gradient boosting</w:t>
            </w:r>
          </w:p>
        </w:tc>
      </w:tr>
      <w:tr w:rsidR="004F01D1" w14:paraId="792A94FF" w14:textId="77777777" w:rsidTr="004F01D1">
        <w:tc>
          <w:tcPr>
            <w:tcW w:w="1250" w:type="dxa"/>
            <w:tcMar>
              <w:top w:w="0" w:type="dxa"/>
              <w:left w:w="36" w:type="dxa"/>
              <w:bottom w:w="0" w:type="dxa"/>
              <w:right w:w="36" w:type="dxa"/>
            </w:tcMar>
            <w:vAlign w:val="center"/>
          </w:tcPr>
          <w:p w14:paraId="0AF62BE2"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LightGBM</w:t>
            </w:r>
          </w:p>
        </w:tc>
        <w:tc>
          <w:tcPr>
            <w:tcW w:w="750" w:type="dxa"/>
            <w:tcMar>
              <w:top w:w="0" w:type="dxa"/>
              <w:left w:w="36" w:type="dxa"/>
              <w:bottom w:w="0" w:type="dxa"/>
              <w:right w:w="36" w:type="dxa"/>
            </w:tcMar>
            <w:vAlign w:val="center"/>
          </w:tcPr>
          <w:p w14:paraId="20FE38E6"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LGBM</w:t>
            </w:r>
          </w:p>
        </w:tc>
        <w:tc>
          <w:tcPr>
            <w:tcW w:w="950" w:type="dxa"/>
            <w:tcMar>
              <w:top w:w="0" w:type="dxa"/>
              <w:left w:w="36" w:type="dxa"/>
              <w:bottom w:w="0" w:type="dxa"/>
              <w:right w:w="36" w:type="dxa"/>
            </w:tcMar>
            <w:vAlign w:val="center"/>
          </w:tcPr>
          <w:p w14:paraId="53D98115"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Gradient Boosting</w:t>
            </w:r>
          </w:p>
        </w:tc>
        <w:tc>
          <w:tcPr>
            <w:tcW w:w="1350" w:type="dxa"/>
            <w:tcMar>
              <w:top w:w="0" w:type="dxa"/>
              <w:left w:w="36" w:type="dxa"/>
              <w:bottom w:w="0" w:type="dxa"/>
              <w:right w:w="36" w:type="dxa"/>
            </w:tcMar>
            <w:vAlign w:val="center"/>
          </w:tcPr>
          <w:p w14:paraId="5A39DEF0"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Leaf-wise tree growth for efficient training</w:t>
            </w:r>
          </w:p>
        </w:tc>
      </w:tr>
      <w:tr w:rsidR="004F01D1" w14:paraId="7B7EDF81" w14:textId="77777777" w:rsidTr="004F01D1">
        <w:tc>
          <w:tcPr>
            <w:tcW w:w="1250" w:type="dxa"/>
            <w:tcMar>
              <w:top w:w="0" w:type="dxa"/>
              <w:left w:w="36" w:type="dxa"/>
              <w:bottom w:w="0" w:type="dxa"/>
              <w:right w:w="36" w:type="dxa"/>
            </w:tcMar>
            <w:vAlign w:val="center"/>
          </w:tcPr>
          <w:p w14:paraId="71A2E57B" w14:textId="77777777" w:rsidR="004F01D1" w:rsidRDefault="00000000">
            <w:pPr>
              <w:spacing w:before="36" w:after="36"/>
              <w:ind w:firstLine="0"/>
              <w:jc w:val="left"/>
              <w:rPr>
                <w:sz w:val="14"/>
                <w:szCs w:val="14"/>
                <w:lang w:val="es-PE" w:eastAsia="en-US"/>
              </w:rPr>
            </w:pPr>
            <w:r>
              <w:rPr>
                <w:rFonts w:ascii="Times New Roman" w:hAnsi="Times New Roman"/>
                <w:sz w:val="13"/>
                <w:szCs w:val="14"/>
                <w:lang w:val="es-PE" w:eastAsia="en-US"/>
              </w:rPr>
              <w:t>CatBoost</w:t>
            </w:r>
          </w:p>
        </w:tc>
        <w:tc>
          <w:tcPr>
            <w:tcW w:w="750" w:type="dxa"/>
            <w:tcMar>
              <w:top w:w="0" w:type="dxa"/>
              <w:left w:w="36" w:type="dxa"/>
              <w:bottom w:w="0" w:type="dxa"/>
              <w:right w:w="36" w:type="dxa"/>
            </w:tcMar>
            <w:vAlign w:val="center"/>
          </w:tcPr>
          <w:p w14:paraId="114AA0CA"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CAT</w:t>
            </w:r>
          </w:p>
        </w:tc>
        <w:tc>
          <w:tcPr>
            <w:tcW w:w="950" w:type="dxa"/>
            <w:tcMar>
              <w:top w:w="0" w:type="dxa"/>
              <w:left w:w="36" w:type="dxa"/>
              <w:bottom w:w="0" w:type="dxa"/>
              <w:right w:w="36" w:type="dxa"/>
            </w:tcMar>
            <w:vAlign w:val="center"/>
          </w:tcPr>
          <w:p w14:paraId="770717A8"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Gradient Boosting</w:t>
            </w:r>
          </w:p>
        </w:tc>
        <w:tc>
          <w:tcPr>
            <w:tcW w:w="1350" w:type="dxa"/>
            <w:tcMar>
              <w:top w:w="0" w:type="dxa"/>
              <w:left w:w="36" w:type="dxa"/>
              <w:bottom w:w="0" w:type="dxa"/>
              <w:right w:w="36" w:type="dxa"/>
            </w:tcMar>
            <w:vAlign w:val="center"/>
          </w:tcPr>
          <w:p w14:paraId="662383A9"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Native handling of categorical variables</w:t>
            </w:r>
          </w:p>
        </w:tc>
      </w:tr>
      <w:tr w:rsidR="004F01D1" w14:paraId="5E9B72E6" w14:textId="77777777" w:rsidTr="004F01D1">
        <w:tc>
          <w:tcPr>
            <w:tcW w:w="1250" w:type="dxa"/>
            <w:vAlign w:val="center"/>
            <w:tcMar>
              <w:top w:w="0" w:type="dxa"/>
              <w:left w:w="36" w:type="dxa"/>
              <w:bottom w:w="0" w:type="dxa"/>
              <w:right w:w="36" w:type="dxa"/>
            </w:tcMar>
          </w:tcPr>
          <w:p>
            <w:pPr>
              <w:jc w:val="left"/>
            </w:pPr>
            <w:r>
              <w:rPr>
                <w:rFonts w:ascii="Times New Roman" w:hAnsi="Times New Roman"/>
                <w:b w:val="0"/>
                <w:sz w:val="13"/>
              </w:rPr>
              <w:t>HistGradient Boosting</w:t>
            </w:r>
          </w:p>
        </w:tc>
        <w:tc>
          <w:tcPr>
            <w:tcW w:w="750" w:type="dxa"/>
            <w:tcMar>
              <w:top w:w="0" w:type="dxa"/>
              <w:left w:w="36" w:type="dxa"/>
              <w:bottom w:w="0" w:type="dxa"/>
              <w:right w:w="36" w:type="dxa"/>
            </w:tcMar>
            <w:vAlign w:val="center"/>
          </w:tcPr>
          <w:p w14:paraId="441F7C56"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HGB</w:t>
            </w:r>
          </w:p>
        </w:tc>
        <w:tc>
          <w:tcPr>
            <w:tcW w:w="950" w:type="dxa"/>
            <w:tcMar>
              <w:top w:w="0" w:type="dxa"/>
              <w:left w:w="36" w:type="dxa"/>
              <w:bottom w:w="0" w:type="dxa"/>
              <w:right w:w="36" w:type="dxa"/>
            </w:tcMar>
            <w:vAlign w:val="center"/>
          </w:tcPr>
          <w:p w14:paraId="06F1BA53" w14:textId="77777777" w:rsidR="004F01D1" w:rsidRDefault="00000000">
            <w:pPr>
              <w:spacing w:before="36" w:after="36"/>
              <w:ind w:firstLine="0"/>
              <w:jc w:val="center"/>
              <w:rPr>
                <w:sz w:val="14"/>
                <w:szCs w:val="14"/>
                <w:lang w:val="es-PE" w:eastAsia="en-US"/>
              </w:rPr>
            </w:pPr>
            <w:r>
              <w:rPr>
                <w:rFonts w:ascii="Times New Roman" w:hAnsi="Times New Roman"/>
                <w:sz w:val="13"/>
                <w:szCs w:val="14"/>
                <w:lang w:val="es-PE" w:eastAsia="en-US"/>
              </w:rPr>
              <w:t>Gradient Boosting</w:t>
            </w:r>
          </w:p>
        </w:tc>
        <w:tc>
          <w:tcPr>
            <w:tcW w:w="1350" w:type="dxa"/>
            <w:tcMar>
              <w:top w:w="0" w:type="dxa"/>
              <w:left w:w="36" w:type="dxa"/>
              <w:bottom w:w="0" w:type="dxa"/>
              <w:right w:w="36" w:type="dxa"/>
            </w:tcMar>
            <w:vAlign w:val="center"/>
          </w:tcPr>
          <w:p w14:paraId="0285B5C8" w14:textId="77777777" w:rsidR="004F01D1" w:rsidRDefault="00000000">
            <w:pPr>
              <w:spacing w:before="36" w:after="36"/>
              <w:ind w:firstLine="0"/>
              <w:jc w:val="center"/>
              <w:rPr>
                <w:sz w:val="14"/>
                <w:szCs w:val="14"/>
                <w:lang w:eastAsia="en-US"/>
              </w:rPr>
            </w:pPr>
            <w:r>
              <w:rPr>
                <w:rFonts w:ascii="Times New Roman" w:hAnsi="Times New Roman"/>
                <w:sz w:val="13"/>
                <w:szCs w:val="14"/>
                <w:lang w:eastAsia="en-US"/>
              </w:rPr>
              <w:t>Histogram-based algorithm to accelerate training on large datasets</w:t>
            </w:r>
          </w:p>
        </w:tc>
      </w:tr>
    </w:tbl>
    <w:p w14:paraId="0C93D912" w14:textId="77777777" w:rsidR="004F01D1" w:rsidRDefault="004F01D1">
      <w:pPr>
        <w:rPr>
          <w:lang w:eastAsia="en-US"/>
        </w:rPr>
      </w:pPr>
    </w:p>
    <w:p w14:paraId="1EFB4728" w14:textId="77777777" w:rsidR="004F01D1" w:rsidRDefault="00000000">
      <w:pPr>
        <w:rPr>
          <w:lang w:eastAsia="en-US"/>
        </w:rPr>
      </w:pPr>
      <w:r>
        <w:rPr>
          <w:lang w:eastAsia="en-US"/>
        </w:rPr>
        <w:t>The pipeline search space also included AdaBoost; however, this algorithm was not retained in the final set of evaluated models, and its analysis is left for future work. Accordingly, the comparison presented in this study is restricted to the eight models described above.</w:t>
      </w:r>
    </w:p>
    <w:p w14:paraId="28E5852D" w14:textId="77777777" w:rsidR="004F01D1" w:rsidRDefault="00000000">
      <w:pPr>
        <w:rPr>
          <w:lang w:eastAsia="en-US"/>
        </w:rPr>
      </w:pPr>
      <w:r>
        <w:rPr>
          <w:lang w:eastAsia="en-US"/>
        </w:rPr>
        <w:t>Given the prevalence of low birth weight (6.11%; approximately 1:15), class imbalance was addressed using the native weighting or resampling strategies implemented within each algorithm, without resorting to synthetic oversampling techniques, owing to the large absolute number of positive cases (&gt;296,000).</w:t>
      </w:r>
    </w:p>
    <w:p w14:paraId="0832D94E" w14:textId="77777777" w:rsidR="004F01D1" w:rsidRDefault="004F01D1">
      <w:pPr>
        <w:rPr>
          <w:lang w:eastAsia="en-US"/>
        </w:rPr>
      </w:pPr>
    </w:p>
    <w:p w14:paraId="21C74387" w14:textId="77777777" w:rsidR="004F01D1" w:rsidRDefault="004F01D1">
      <w:pPr>
        <w:rPr>
          <w:lang w:eastAsia="en-US"/>
        </w:rPr>
      </w:pPr>
    </w:p>
    <w:p w14:paraId="747662BD" w14:textId="77777777" w:rsidR="004F01D1" w:rsidRDefault="00000000">
      <w:pPr>
        <w:pStyle w:val="Ttulo2"/>
        <w:rPr>
          <w:lang w:eastAsia="en-US"/>
        </w:rPr>
      </w:pPr>
      <w:r>
        <w:rPr>
          <w:lang w:eastAsia="en-US"/>
        </w:rPr>
        <w:t>F.</w:t>
      </w:r>
      <w:r>
        <w:rPr>
          <w:lang w:eastAsia="en-US"/>
        </w:rPr>
        <w:tab/>
        <w:t>Hyperparameter Optimization</w:t>
      </w:r>
    </w:p>
    <w:p w14:paraId="7CB6DE8C" w14:textId="77777777" w:rsidR="004F01D1" w:rsidRDefault="00000000">
      <w:r>
        <w:rPr>
          <w:lang w:eastAsia="en-US"/>
        </w:rPr>
        <w:t xml:space="preserve">Hyperparameter optimization was performed using Optuna, employing the Tree-structured Parzen Estimator (TPE) sampler and the Median Pruner to terminate unpromising configurations early. The search budget was adjusted according to the computational cost of each </w:t>
      </w:r>
      <w:r>
        <w:rPr>
          <w:lang w:eastAsia="en-US"/>
        </w:rPr>
        <w:lastRenderedPageBreak/>
        <w:t>algorithm: 30 trials for XGBoost, LightGBM, and CatBoost, and 20 trials for Random Forest, Extra Trees, Balanced Random Forest, and HistGradientBoosting, whereas Logistic Regression was trained using a fixed configuration. Each optimization study was limited to a maximum runtime of 1,800 s. XGBoost, LightGBM, and CatBoost additionally employed early stopping.</w:t>
      </w:r>
    </w:p>
    <w:p w14:paraId="0E84A4A9" w14:textId="77777777" w:rsidR="004F01D1" w:rsidRDefault="00000000">
      <w:pPr>
        <w:rPr>
          <w:lang w:eastAsia="en-US"/>
        </w:rPr>
      </w:pPr>
      <w:r>
        <w:rPr>
          <w:lang w:eastAsia="en-US"/>
        </w:rPr>
        <w:t>The hyperparameter search spaces defined for each algorithm are summarized in Table III.</w:t>
      </w:r>
    </w:p>
    <w:p w14:paraId="11ADAE5B" w14:textId="77777777" w:rsidR="004F01D1" w:rsidRDefault="00000000">
      <w:pPr>
        <w:pStyle w:val="TableCaption"/>
      </w:pPr>
      <w:r>
        <w:t>Table III. Hyperparameter Search Space Used in Optuna</w:t>
      </w:r>
    </w:p>
    <w:tbl>
      <w:tblPr>
        <w:tblStyle w:val="Estilo1"/>
        <w:tblLook w:val="04A0" w:firstRow="1" w:lastRow="0" w:firstColumn="1" w:lastColumn="0" w:noHBand="0" w:noVBand="1"/>
        <w:tblW w:w="4300" w:type="dxa"/>
        <w:tblInd w:w="0" w:type="dxa"/>
        <w:tblLayout w:type="fixed"/>
      </w:tblPr>
      <w:tblGrid>
        <w:gridCol w:w="1200"/>
        <w:gridCol w:w="1750"/>
        <w:gridCol w:w="1350"/>
      </w:tblGrid>
      <w:tr w:rsidR="004F01D1" w14:paraId="571A33B2"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200" w:type="dxa"/>
            <w:tcBorders>
              <w:bottom w:val="single" w:sz="4" w:space="0" w:color="000000"/>
            </w:tcBorders>
            <w:tcMar>
              <w:top w:w="0" w:type="dxa"/>
              <w:left w:w="36" w:type="dxa"/>
              <w:bottom w:w="0" w:type="dxa"/>
              <w:right w:w="36" w:type="dxa"/>
            </w:tcMar>
            <w:vAlign w:val="center"/>
          </w:tcPr>
          <w:p w14:paraId="4F068D0F" w14:textId="77777777" w:rsidR="004F01D1" w:rsidRDefault="00000000">
            <w:pPr>
              <w:spacing w:before="20" w:after="20"/>
              <w:ind w:firstLine="0"/>
              <w:jc w:val="left"/>
              <w:rPr>
                <w:bCs/>
                <w:sz w:val="16"/>
                <w:szCs w:val="16"/>
                <w:lang w:eastAsia="en-US"/>
              </w:rPr>
            </w:pPr>
            <w:r>
              <w:rPr>
                <w:rFonts w:ascii="Times New Roman" w:hAnsi="Times New Roman"/>
                <w:b/>
                <w:bCs/>
                <w:sz w:val="13"/>
                <w:szCs w:val="16"/>
                <w:lang w:eastAsia="en-US"/>
              </w:rPr>
              <w:t>Model</w:t>
            </w:r>
          </w:p>
        </w:tc>
        <w:tc>
          <w:tcPr>
            <w:tcW w:w="1750" w:type="dxa"/>
            <w:tcBorders>
              <w:bottom w:val="single" w:sz="4" w:space="0" w:color="000000"/>
            </w:tcBorders>
            <w:tcMar>
              <w:top w:w="0" w:type="dxa"/>
              <w:left w:w="36" w:type="dxa"/>
              <w:bottom w:w="0" w:type="dxa"/>
              <w:right w:w="36" w:type="dxa"/>
            </w:tcMar>
            <w:vAlign w:val="center"/>
          </w:tcPr>
          <w:p w14:paraId="495E5489" w14:textId="77777777" w:rsidR="004F01D1" w:rsidRDefault="00000000">
            <w:pPr>
              <w:spacing w:before="20" w:after="20"/>
              <w:ind w:firstLine="0"/>
              <w:jc w:val="center"/>
              <w:rPr>
                <w:bCs/>
                <w:sz w:val="16"/>
                <w:szCs w:val="16"/>
                <w:lang w:eastAsia="en-US"/>
              </w:rPr>
            </w:pPr>
            <w:r>
              <w:rPr>
                <w:rFonts w:ascii="Times New Roman" w:hAnsi="Times New Roman"/>
                <w:b/>
                <w:bCs/>
                <w:sz w:val="13"/>
                <w:szCs w:val="16"/>
                <w:lang w:eastAsia="en-US"/>
              </w:rPr>
              <w:t>Optimized Hyperparameters</w:t>
            </w:r>
          </w:p>
        </w:tc>
        <w:tc>
          <w:tcPr>
            <w:tcW w:w="1350" w:type="dxa"/>
            <w:tcBorders>
              <w:bottom w:val="single" w:sz="4" w:space="0" w:color="000000"/>
            </w:tcBorders>
            <w:tcMar>
              <w:top w:w="0" w:type="dxa"/>
              <w:left w:w="36" w:type="dxa"/>
              <w:bottom w:w="0" w:type="dxa"/>
              <w:right w:w="36" w:type="dxa"/>
            </w:tcMar>
            <w:vAlign w:val="center"/>
          </w:tcPr>
          <w:p w14:paraId="42DDEEAD" w14:textId="77777777" w:rsidR="004F01D1" w:rsidRDefault="00000000">
            <w:pPr>
              <w:spacing w:before="20" w:after="20"/>
              <w:ind w:firstLine="0"/>
              <w:jc w:val="center"/>
              <w:rPr>
                <w:bCs/>
                <w:sz w:val="16"/>
                <w:szCs w:val="16"/>
                <w:lang w:eastAsia="en-US"/>
              </w:rPr>
            </w:pPr>
            <w:r>
              <w:rPr>
                <w:rFonts w:ascii="Times New Roman" w:hAnsi="Times New Roman"/>
                <w:b/>
                <w:bCs/>
                <w:sz w:val="13"/>
                <w:szCs w:val="16"/>
                <w:lang w:eastAsia="en-US"/>
              </w:rPr>
              <w:t>Search Space</w:t>
            </w:r>
          </w:p>
        </w:tc>
      </w:tr>
      <w:tr w:rsidR="004F01D1" w14:paraId="1DC5B61C" w14:textId="77777777" w:rsidTr="004F01D1">
        <w:tc>
          <w:tcPr>
            <w:tcW w:w="1200" w:type="dxa"/>
            <w:tcMar>
              <w:top w:w="0" w:type="dxa"/>
              <w:left w:w="36" w:type="dxa"/>
              <w:bottom w:w="0" w:type="dxa"/>
              <w:right w:w="36" w:type="dxa"/>
            </w:tcMar>
            <w:vAlign w:val="center"/>
          </w:tcPr>
          <w:p w14:paraId="233E0D21"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Random Forest (RF)</w:t>
            </w:r>
          </w:p>
        </w:tc>
        <w:tc>
          <w:tcPr>
            <w:tcW w:w="1750" w:type="dxa"/>
            <w:tcMar>
              <w:top w:w="0" w:type="dxa"/>
              <w:left w:w="36" w:type="dxa"/>
              <w:bottom w:w="0" w:type="dxa"/>
              <w:right w:w="36" w:type="dxa"/>
            </w:tcMar>
            <w:vAlign w:val="center"/>
          </w:tcPr>
          <w:p w14:paraId="1E8A802F"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n_estimators</w:t>
            </w:r>
          </w:p>
        </w:tc>
        <w:tc>
          <w:tcPr>
            <w:tcW w:w="1350" w:type="dxa"/>
            <w:tcMar>
              <w:top w:w="0" w:type="dxa"/>
              <w:left w:w="36" w:type="dxa"/>
              <w:bottom w:w="0" w:type="dxa"/>
              <w:right w:w="36" w:type="dxa"/>
            </w:tcMar>
            <w:vAlign w:val="center"/>
          </w:tcPr>
          <w:p w14:paraId="426452B5"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50–150</w:t>
            </w:r>
          </w:p>
        </w:tc>
      </w:tr>
      <w:tr w:rsidR="004F01D1" w14:paraId="5663B75F" w14:textId="77777777" w:rsidTr="004F01D1">
        <w:tc>
          <w:tcPr>
            <w:tcW w:w="1200" w:type="dxa"/>
            <w:tcMar>
              <w:top w:w="0" w:type="dxa"/>
              <w:left w:w="36" w:type="dxa"/>
              <w:bottom w:w="0" w:type="dxa"/>
              <w:right w:w="36" w:type="dxa"/>
            </w:tcMar>
            <w:vAlign w:val="center"/>
          </w:tcPr>
          <w:p w14:paraId="44E8072B"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1467E2E7"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max_depth</w:t>
            </w:r>
          </w:p>
        </w:tc>
        <w:tc>
          <w:tcPr>
            <w:tcW w:w="1350" w:type="dxa"/>
            <w:tcMar>
              <w:top w:w="0" w:type="dxa"/>
              <w:left w:w="36" w:type="dxa"/>
              <w:bottom w:w="0" w:type="dxa"/>
              <w:right w:w="36" w:type="dxa"/>
            </w:tcMar>
            <w:vAlign w:val="center"/>
          </w:tcPr>
          <w:p w14:paraId="7078691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4–14</w:t>
            </w:r>
          </w:p>
        </w:tc>
      </w:tr>
      <w:tr w:rsidR="004F01D1" w14:paraId="4E45C3B0" w14:textId="77777777" w:rsidTr="004F01D1">
        <w:tc>
          <w:tcPr>
            <w:tcW w:w="1200" w:type="dxa"/>
            <w:tcMar>
              <w:top w:w="0" w:type="dxa"/>
              <w:left w:w="36" w:type="dxa"/>
              <w:bottom w:w="0" w:type="dxa"/>
              <w:right w:w="36" w:type="dxa"/>
            </w:tcMar>
            <w:vAlign w:val="center"/>
          </w:tcPr>
          <w:p w14:paraId="4A7E9DA3"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6726628"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min_samples_leaf</w:t>
            </w:r>
          </w:p>
        </w:tc>
        <w:tc>
          <w:tcPr>
            <w:tcW w:w="1350" w:type="dxa"/>
            <w:tcMar>
              <w:top w:w="0" w:type="dxa"/>
              <w:left w:w="36" w:type="dxa"/>
              <w:bottom w:w="0" w:type="dxa"/>
              <w:right w:w="36" w:type="dxa"/>
            </w:tcMar>
            <w:vAlign w:val="center"/>
          </w:tcPr>
          <w:p w14:paraId="1DC5F49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10–80</w:t>
            </w:r>
          </w:p>
        </w:tc>
      </w:tr>
      <w:tr w:rsidR="004F01D1" w14:paraId="38D87E8C" w14:textId="77777777" w:rsidTr="004F01D1">
        <w:tc>
          <w:tcPr>
            <w:tcW w:w="1200" w:type="dxa"/>
            <w:tcMar>
              <w:top w:w="0" w:type="dxa"/>
              <w:left w:w="36" w:type="dxa"/>
              <w:bottom w:w="0" w:type="dxa"/>
              <w:right w:w="36" w:type="dxa"/>
            </w:tcMar>
            <w:vAlign w:val="center"/>
          </w:tcPr>
          <w:p w14:paraId="6571078F"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3C3BE3DF"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max_features</w:t>
            </w:r>
          </w:p>
        </w:tc>
        <w:tc>
          <w:tcPr>
            <w:tcW w:w="1350" w:type="dxa"/>
            <w:tcMar>
              <w:top w:w="0" w:type="dxa"/>
              <w:left w:w="36" w:type="dxa"/>
              <w:bottom w:w="0" w:type="dxa"/>
              <w:right w:w="36" w:type="dxa"/>
            </w:tcMar>
            <w:vAlign w:val="center"/>
          </w:tcPr>
          <w:p w14:paraId="60A1C39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Sqrt</w:t>
            </w:r>
          </w:p>
        </w:tc>
      </w:tr>
      <w:tr w:rsidR="004F01D1" w14:paraId="425BE157" w14:textId="77777777" w:rsidTr="004F01D1">
        <w:tc>
          <w:tcPr>
            <w:tcW w:w="1200" w:type="dxa"/>
            <w:tcMar>
              <w:top w:w="0" w:type="dxa"/>
              <w:left w:w="36" w:type="dxa"/>
              <w:bottom w:w="0" w:type="dxa"/>
              <w:right w:w="36" w:type="dxa"/>
            </w:tcMar>
            <w:vAlign w:val="center"/>
          </w:tcPr>
          <w:p w14:paraId="647B97C6"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Balanced Random Forest (BRF)</w:t>
            </w:r>
          </w:p>
        </w:tc>
        <w:tc>
          <w:tcPr>
            <w:tcW w:w="1750" w:type="dxa"/>
            <w:tcMar>
              <w:top w:w="0" w:type="dxa"/>
              <w:left w:w="36" w:type="dxa"/>
              <w:bottom w:w="0" w:type="dxa"/>
              <w:right w:w="36" w:type="dxa"/>
            </w:tcMar>
            <w:vAlign w:val="center"/>
          </w:tcPr>
          <w:p w14:paraId="747A7BBD"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n_estimators</w:t>
            </w:r>
          </w:p>
        </w:tc>
        <w:tc>
          <w:tcPr>
            <w:tcW w:w="1350" w:type="dxa"/>
            <w:tcMar>
              <w:top w:w="0" w:type="dxa"/>
              <w:left w:w="36" w:type="dxa"/>
              <w:bottom w:w="0" w:type="dxa"/>
              <w:right w:w="36" w:type="dxa"/>
            </w:tcMar>
            <w:vAlign w:val="center"/>
          </w:tcPr>
          <w:p w14:paraId="19EA08AF"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55–148</w:t>
            </w:r>
          </w:p>
        </w:tc>
      </w:tr>
      <w:tr w:rsidR="004F01D1" w14:paraId="5F2F71D3" w14:textId="77777777" w:rsidTr="004F01D1">
        <w:tc>
          <w:tcPr>
            <w:tcW w:w="1200" w:type="dxa"/>
            <w:tcMar>
              <w:top w:w="0" w:type="dxa"/>
              <w:left w:w="36" w:type="dxa"/>
              <w:bottom w:w="0" w:type="dxa"/>
              <w:right w:w="36" w:type="dxa"/>
            </w:tcMar>
            <w:vAlign w:val="center"/>
          </w:tcPr>
          <w:p w14:paraId="59E0902F"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17084327"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max_depth</w:t>
            </w:r>
          </w:p>
        </w:tc>
        <w:tc>
          <w:tcPr>
            <w:tcW w:w="1350" w:type="dxa"/>
            <w:tcMar>
              <w:top w:w="0" w:type="dxa"/>
              <w:left w:w="36" w:type="dxa"/>
              <w:bottom w:w="0" w:type="dxa"/>
              <w:right w:w="36" w:type="dxa"/>
            </w:tcMar>
            <w:vAlign w:val="center"/>
          </w:tcPr>
          <w:p w14:paraId="3304EE1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4–12</w:t>
            </w:r>
          </w:p>
        </w:tc>
      </w:tr>
      <w:tr w:rsidR="004F01D1" w14:paraId="6596F071" w14:textId="77777777" w:rsidTr="004F01D1">
        <w:tc>
          <w:tcPr>
            <w:tcW w:w="1200" w:type="dxa"/>
            <w:tcMar>
              <w:top w:w="0" w:type="dxa"/>
              <w:left w:w="36" w:type="dxa"/>
              <w:bottom w:w="0" w:type="dxa"/>
              <w:right w:w="36" w:type="dxa"/>
            </w:tcMar>
            <w:vAlign w:val="center"/>
          </w:tcPr>
          <w:p w14:paraId="3A2E9AB2"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28F17FD9"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min_samples_leaf</w:t>
            </w:r>
          </w:p>
        </w:tc>
        <w:tc>
          <w:tcPr>
            <w:tcW w:w="1350" w:type="dxa"/>
            <w:tcMar>
              <w:top w:w="0" w:type="dxa"/>
              <w:left w:w="36" w:type="dxa"/>
              <w:bottom w:w="0" w:type="dxa"/>
              <w:right w:w="36" w:type="dxa"/>
            </w:tcMar>
            <w:vAlign w:val="center"/>
          </w:tcPr>
          <w:p w14:paraId="53C271D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10–59</w:t>
            </w:r>
          </w:p>
        </w:tc>
      </w:tr>
      <w:tr w:rsidR="004F01D1" w14:paraId="62472BFA" w14:textId="77777777" w:rsidTr="004F01D1">
        <w:tc>
          <w:tcPr>
            <w:tcW w:w="1200" w:type="dxa"/>
            <w:tcMar>
              <w:top w:w="0" w:type="dxa"/>
              <w:left w:w="36" w:type="dxa"/>
              <w:bottom w:w="0" w:type="dxa"/>
              <w:right w:w="36" w:type="dxa"/>
            </w:tcMar>
            <w:vAlign w:val="center"/>
          </w:tcPr>
          <w:p w14:paraId="6A9311FD"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Extra Trees (ET)</w:t>
            </w:r>
          </w:p>
        </w:tc>
        <w:tc>
          <w:tcPr>
            <w:tcW w:w="1750" w:type="dxa"/>
            <w:tcMar>
              <w:top w:w="0" w:type="dxa"/>
              <w:left w:w="36" w:type="dxa"/>
              <w:bottom w:w="0" w:type="dxa"/>
              <w:right w:w="36" w:type="dxa"/>
            </w:tcMar>
            <w:vAlign w:val="center"/>
          </w:tcPr>
          <w:p w14:paraId="2726092D"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n_estimators</w:t>
            </w:r>
          </w:p>
        </w:tc>
        <w:tc>
          <w:tcPr>
            <w:tcW w:w="1350" w:type="dxa"/>
            <w:tcMar>
              <w:top w:w="0" w:type="dxa"/>
              <w:left w:w="36" w:type="dxa"/>
              <w:bottom w:w="0" w:type="dxa"/>
              <w:right w:w="36" w:type="dxa"/>
            </w:tcMar>
            <w:vAlign w:val="center"/>
          </w:tcPr>
          <w:p w14:paraId="793ADD4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50–150</w:t>
            </w:r>
          </w:p>
        </w:tc>
      </w:tr>
      <w:tr w:rsidR="004F01D1" w14:paraId="259C8D8E" w14:textId="77777777" w:rsidTr="004F01D1">
        <w:tc>
          <w:tcPr>
            <w:tcW w:w="1200" w:type="dxa"/>
            <w:tcMar>
              <w:top w:w="0" w:type="dxa"/>
              <w:left w:w="36" w:type="dxa"/>
              <w:bottom w:w="0" w:type="dxa"/>
              <w:right w:w="36" w:type="dxa"/>
            </w:tcMar>
            <w:vAlign w:val="center"/>
          </w:tcPr>
          <w:p w14:paraId="5F6F1186"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43003D9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max_depth</w:t>
            </w:r>
          </w:p>
        </w:tc>
        <w:tc>
          <w:tcPr>
            <w:tcW w:w="1350" w:type="dxa"/>
            <w:tcMar>
              <w:top w:w="0" w:type="dxa"/>
              <w:left w:w="36" w:type="dxa"/>
              <w:bottom w:w="0" w:type="dxa"/>
              <w:right w:w="36" w:type="dxa"/>
            </w:tcMar>
            <w:vAlign w:val="center"/>
          </w:tcPr>
          <w:p w14:paraId="7B487424"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4–14</w:t>
            </w:r>
          </w:p>
        </w:tc>
      </w:tr>
      <w:tr w:rsidR="004F01D1" w14:paraId="572C6584" w14:textId="77777777" w:rsidTr="004F01D1">
        <w:tc>
          <w:tcPr>
            <w:tcW w:w="1200" w:type="dxa"/>
            <w:tcMar>
              <w:top w:w="0" w:type="dxa"/>
              <w:left w:w="36" w:type="dxa"/>
              <w:bottom w:w="0" w:type="dxa"/>
              <w:right w:w="36" w:type="dxa"/>
            </w:tcMar>
            <w:vAlign w:val="center"/>
          </w:tcPr>
          <w:p w14:paraId="01EF3976"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517C122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min_samples_leaf</w:t>
            </w:r>
          </w:p>
        </w:tc>
        <w:tc>
          <w:tcPr>
            <w:tcW w:w="1350" w:type="dxa"/>
            <w:tcMar>
              <w:top w:w="0" w:type="dxa"/>
              <w:left w:w="36" w:type="dxa"/>
              <w:bottom w:w="0" w:type="dxa"/>
              <w:right w:w="36" w:type="dxa"/>
            </w:tcMar>
            <w:vAlign w:val="center"/>
          </w:tcPr>
          <w:p w14:paraId="1FD2059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10–80</w:t>
            </w:r>
          </w:p>
        </w:tc>
      </w:tr>
      <w:tr w:rsidR="004F01D1" w14:paraId="7AEB4B76" w14:textId="77777777" w:rsidTr="004F01D1">
        <w:tc>
          <w:tcPr>
            <w:tcW w:w="1200" w:type="dxa"/>
            <w:tcMar>
              <w:top w:w="0" w:type="dxa"/>
              <w:left w:w="36" w:type="dxa"/>
              <w:bottom w:w="0" w:type="dxa"/>
              <w:right w:w="36" w:type="dxa"/>
            </w:tcMar>
            <w:vAlign w:val="center"/>
          </w:tcPr>
          <w:p w14:paraId="5D3F4AA0"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CatBoost (CAT)</w:t>
            </w:r>
          </w:p>
        </w:tc>
        <w:tc>
          <w:tcPr>
            <w:tcW w:w="1750" w:type="dxa"/>
            <w:tcMar>
              <w:top w:w="0" w:type="dxa"/>
              <w:left w:w="36" w:type="dxa"/>
              <w:bottom w:w="0" w:type="dxa"/>
              <w:right w:w="36" w:type="dxa"/>
            </w:tcMar>
            <w:vAlign w:val="center"/>
          </w:tcPr>
          <w:p w14:paraId="601EB583"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iterations</w:t>
            </w:r>
          </w:p>
        </w:tc>
        <w:tc>
          <w:tcPr>
            <w:tcW w:w="1350" w:type="dxa"/>
            <w:tcMar>
              <w:top w:w="0" w:type="dxa"/>
              <w:left w:w="36" w:type="dxa"/>
              <w:bottom w:w="0" w:type="dxa"/>
              <w:right w:w="36" w:type="dxa"/>
            </w:tcMar>
            <w:vAlign w:val="center"/>
          </w:tcPr>
          <w:p w14:paraId="1526572E"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100–250</w:t>
            </w:r>
          </w:p>
        </w:tc>
      </w:tr>
      <w:tr w:rsidR="004F01D1" w14:paraId="5A0ED038" w14:textId="77777777" w:rsidTr="004F01D1">
        <w:tc>
          <w:tcPr>
            <w:tcW w:w="1200" w:type="dxa"/>
            <w:tcMar>
              <w:top w:w="0" w:type="dxa"/>
              <w:left w:w="36" w:type="dxa"/>
              <w:bottom w:w="0" w:type="dxa"/>
              <w:right w:w="36" w:type="dxa"/>
            </w:tcMar>
            <w:vAlign w:val="center"/>
          </w:tcPr>
          <w:p w14:paraId="2FBAE036"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2F38324A"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depth</w:t>
            </w:r>
          </w:p>
        </w:tc>
        <w:tc>
          <w:tcPr>
            <w:tcW w:w="1350" w:type="dxa"/>
            <w:tcMar>
              <w:top w:w="0" w:type="dxa"/>
              <w:left w:w="36" w:type="dxa"/>
              <w:bottom w:w="0" w:type="dxa"/>
              <w:right w:w="36" w:type="dxa"/>
            </w:tcMar>
            <w:vAlign w:val="center"/>
          </w:tcPr>
          <w:p w14:paraId="19EDFCFA"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3–7</w:t>
            </w:r>
          </w:p>
        </w:tc>
      </w:tr>
      <w:tr w:rsidR="004F01D1" w14:paraId="1692CC92" w14:textId="77777777" w:rsidTr="004F01D1">
        <w:tc>
          <w:tcPr>
            <w:tcW w:w="1200" w:type="dxa"/>
            <w:tcMar>
              <w:top w:w="0" w:type="dxa"/>
              <w:left w:w="36" w:type="dxa"/>
              <w:bottom w:w="0" w:type="dxa"/>
              <w:right w:w="36" w:type="dxa"/>
            </w:tcMar>
            <w:vAlign w:val="center"/>
          </w:tcPr>
          <w:p w14:paraId="0556E68A"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1D6E8B6"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learning_rate</w:t>
            </w:r>
          </w:p>
        </w:tc>
        <w:tc>
          <w:tcPr>
            <w:tcW w:w="1350" w:type="dxa"/>
            <w:tcMar>
              <w:top w:w="0" w:type="dxa"/>
              <w:left w:w="36" w:type="dxa"/>
              <w:bottom w:w="0" w:type="dxa"/>
              <w:right w:w="36" w:type="dxa"/>
            </w:tcMar>
            <w:vAlign w:val="center"/>
          </w:tcPr>
          <w:p w14:paraId="5CAA913E"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0.01–0.20</w:t>
            </w:r>
          </w:p>
        </w:tc>
      </w:tr>
      <w:tr w:rsidR="004F01D1" w14:paraId="0A57CF03" w14:textId="77777777" w:rsidTr="004F01D1">
        <w:tc>
          <w:tcPr>
            <w:tcW w:w="1200" w:type="dxa"/>
            <w:tcMar>
              <w:top w:w="0" w:type="dxa"/>
              <w:left w:w="36" w:type="dxa"/>
              <w:bottom w:w="0" w:type="dxa"/>
              <w:right w:w="36" w:type="dxa"/>
            </w:tcMar>
            <w:vAlign w:val="center"/>
          </w:tcPr>
          <w:p w14:paraId="18BEB6BD"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67751EE4"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l2_leaf_reg</w:t>
            </w:r>
          </w:p>
        </w:tc>
        <w:tc>
          <w:tcPr>
            <w:tcW w:w="1350" w:type="dxa"/>
            <w:tcMar>
              <w:top w:w="0" w:type="dxa"/>
              <w:left w:w="36" w:type="dxa"/>
              <w:bottom w:w="0" w:type="dxa"/>
              <w:right w:w="36" w:type="dxa"/>
            </w:tcMar>
            <w:vAlign w:val="center"/>
          </w:tcPr>
          <w:p w14:paraId="132EED7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0.1–15</w:t>
            </w:r>
          </w:p>
        </w:tc>
      </w:tr>
      <w:tr w:rsidR="004F01D1" w14:paraId="762274D9" w14:textId="77777777" w:rsidTr="004F01D1">
        <w:tc>
          <w:tcPr>
            <w:tcW w:w="1200" w:type="dxa"/>
            <w:tcMar>
              <w:top w:w="0" w:type="dxa"/>
              <w:left w:w="36" w:type="dxa"/>
              <w:bottom w:w="0" w:type="dxa"/>
              <w:right w:w="36" w:type="dxa"/>
            </w:tcMar>
            <w:vAlign w:val="center"/>
          </w:tcPr>
          <w:p w14:paraId="65AD5A17"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4666007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bagging_temperature</w:t>
            </w:r>
          </w:p>
        </w:tc>
        <w:tc>
          <w:tcPr>
            <w:tcW w:w="1350" w:type="dxa"/>
            <w:tcMar>
              <w:top w:w="0" w:type="dxa"/>
              <w:left w:w="36" w:type="dxa"/>
              <w:bottom w:w="0" w:type="dxa"/>
              <w:right w:w="36" w:type="dxa"/>
            </w:tcMar>
            <w:vAlign w:val="center"/>
          </w:tcPr>
          <w:p w14:paraId="522BD1F5"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0.0–1.5</w:t>
            </w:r>
          </w:p>
        </w:tc>
      </w:tr>
      <w:tr w:rsidR="004F01D1" w14:paraId="1B46D3B2" w14:textId="77777777" w:rsidTr="004F01D1">
        <w:tc>
          <w:tcPr>
            <w:tcW w:w="1200" w:type="dxa"/>
            <w:tcMar>
              <w:top w:w="0" w:type="dxa"/>
              <w:left w:w="36" w:type="dxa"/>
              <w:bottom w:w="0" w:type="dxa"/>
              <w:right w:w="36" w:type="dxa"/>
            </w:tcMar>
            <w:vAlign w:val="center"/>
          </w:tcPr>
          <w:p w14:paraId="22E9A8A9"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LightGBM (LGBM)</w:t>
            </w:r>
          </w:p>
        </w:tc>
        <w:tc>
          <w:tcPr>
            <w:tcW w:w="1750" w:type="dxa"/>
            <w:tcMar>
              <w:top w:w="0" w:type="dxa"/>
              <w:left w:w="36" w:type="dxa"/>
              <w:bottom w:w="0" w:type="dxa"/>
              <w:right w:w="36" w:type="dxa"/>
            </w:tcMar>
            <w:vAlign w:val="center"/>
          </w:tcPr>
          <w:p w14:paraId="78F830B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n_estimators</w:t>
            </w:r>
          </w:p>
        </w:tc>
        <w:tc>
          <w:tcPr>
            <w:tcW w:w="1350" w:type="dxa"/>
            <w:tcMar>
              <w:top w:w="0" w:type="dxa"/>
              <w:left w:w="36" w:type="dxa"/>
              <w:bottom w:w="0" w:type="dxa"/>
              <w:right w:w="36" w:type="dxa"/>
            </w:tcMar>
            <w:vAlign w:val="center"/>
          </w:tcPr>
          <w:p w14:paraId="6472983A"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50–200</w:t>
            </w:r>
          </w:p>
        </w:tc>
      </w:tr>
      <w:tr w:rsidR="004F01D1" w14:paraId="53E1A093" w14:textId="77777777" w:rsidTr="004F01D1">
        <w:tc>
          <w:tcPr>
            <w:tcW w:w="1200" w:type="dxa"/>
            <w:tcMar>
              <w:top w:w="0" w:type="dxa"/>
              <w:left w:w="36" w:type="dxa"/>
              <w:bottom w:w="0" w:type="dxa"/>
              <w:right w:w="36" w:type="dxa"/>
            </w:tcMar>
            <w:vAlign w:val="center"/>
          </w:tcPr>
          <w:p w14:paraId="0734195A"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4BD425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max_depth</w:t>
            </w:r>
          </w:p>
        </w:tc>
        <w:tc>
          <w:tcPr>
            <w:tcW w:w="1350" w:type="dxa"/>
            <w:tcMar>
              <w:top w:w="0" w:type="dxa"/>
              <w:left w:w="36" w:type="dxa"/>
              <w:bottom w:w="0" w:type="dxa"/>
              <w:right w:w="36" w:type="dxa"/>
            </w:tcMar>
            <w:vAlign w:val="center"/>
          </w:tcPr>
          <w:p w14:paraId="1BA63F93"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3–7</w:t>
            </w:r>
          </w:p>
        </w:tc>
      </w:tr>
      <w:tr w:rsidR="004F01D1" w14:paraId="154A03AD" w14:textId="77777777" w:rsidTr="004F01D1">
        <w:tc>
          <w:tcPr>
            <w:tcW w:w="1200" w:type="dxa"/>
            <w:tcMar>
              <w:top w:w="0" w:type="dxa"/>
              <w:left w:w="36" w:type="dxa"/>
              <w:bottom w:w="0" w:type="dxa"/>
              <w:right w:w="36" w:type="dxa"/>
            </w:tcMar>
            <w:vAlign w:val="center"/>
          </w:tcPr>
          <w:p w14:paraId="11DA0DC2"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54E8398"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learning_rate</w:t>
            </w:r>
          </w:p>
        </w:tc>
        <w:tc>
          <w:tcPr>
            <w:tcW w:w="1350" w:type="dxa"/>
            <w:tcMar>
              <w:top w:w="0" w:type="dxa"/>
              <w:left w:w="36" w:type="dxa"/>
              <w:bottom w:w="0" w:type="dxa"/>
              <w:right w:w="36" w:type="dxa"/>
            </w:tcMar>
            <w:vAlign w:val="center"/>
          </w:tcPr>
          <w:p w14:paraId="601B604B"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0.01–0.18</w:t>
            </w:r>
          </w:p>
        </w:tc>
      </w:tr>
      <w:tr w:rsidR="004F01D1" w14:paraId="1B6E37A7" w14:textId="77777777" w:rsidTr="004F01D1">
        <w:tc>
          <w:tcPr>
            <w:tcW w:w="1200" w:type="dxa"/>
            <w:tcMar>
              <w:top w:w="0" w:type="dxa"/>
              <w:left w:w="36" w:type="dxa"/>
              <w:bottom w:w="0" w:type="dxa"/>
              <w:right w:w="36" w:type="dxa"/>
            </w:tcMar>
            <w:vAlign w:val="center"/>
          </w:tcPr>
          <w:p w14:paraId="537BC2F0"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4DF248C7"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subsample</w:t>
            </w:r>
          </w:p>
        </w:tc>
        <w:tc>
          <w:tcPr>
            <w:tcW w:w="1350" w:type="dxa"/>
            <w:tcMar>
              <w:top w:w="0" w:type="dxa"/>
              <w:left w:w="36" w:type="dxa"/>
              <w:bottom w:w="0" w:type="dxa"/>
              <w:right w:w="36" w:type="dxa"/>
            </w:tcMar>
            <w:vAlign w:val="center"/>
          </w:tcPr>
          <w:p w14:paraId="62DEE118"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0.70–1.00</w:t>
            </w:r>
          </w:p>
        </w:tc>
      </w:tr>
      <w:tr w:rsidR="004F01D1" w14:paraId="47A9672A" w14:textId="77777777" w:rsidTr="004F01D1">
        <w:tc>
          <w:tcPr>
            <w:tcW w:w="1200" w:type="dxa"/>
            <w:tcMar>
              <w:top w:w="0" w:type="dxa"/>
              <w:left w:w="36" w:type="dxa"/>
              <w:bottom w:w="0" w:type="dxa"/>
              <w:right w:w="36" w:type="dxa"/>
            </w:tcMar>
            <w:vAlign w:val="center"/>
          </w:tcPr>
          <w:p w14:paraId="6E59C4A7"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04DA2359"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colsample_bytree</w:t>
            </w:r>
          </w:p>
        </w:tc>
        <w:tc>
          <w:tcPr>
            <w:tcW w:w="1350" w:type="dxa"/>
            <w:tcMar>
              <w:top w:w="0" w:type="dxa"/>
              <w:left w:w="36" w:type="dxa"/>
              <w:bottom w:w="0" w:type="dxa"/>
              <w:right w:w="36" w:type="dxa"/>
            </w:tcMar>
            <w:vAlign w:val="center"/>
          </w:tcPr>
          <w:p w14:paraId="3F8AB75E"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0.60–1.00</w:t>
            </w:r>
          </w:p>
        </w:tc>
      </w:tr>
      <w:tr w:rsidR="004F01D1" w14:paraId="0FC58A82" w14:textId="77777777" w:rsidTr="004F01D1">
        <w:tc>
          <w:tcPr>
            <w:tcW w:w="1200" w:type="dxa"/>
            <w:tcMar>
              <w:top w:w="0" w:type="dxa"/>
              <w:left w:w="36" w:type="dxa"/>
              <w:bottom w:w="0" w:type="dxa"/>
              <w:right w:w="36" w:type="dxa"/>
            </w:tcMar>
            <w:vAlign w:val="center"/>
          </w:tcPr>
          <w:p w14:paraId="48E7A42D"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9923E17"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reg_alpha, reg_lambda</w:t>
            </w:r>
          </w:p>
        </w:tc>
        <w:tc>
          <w:tcPr>
            <w:tcW w:w="1350" w:type="dxa"/>
            <w:tcMar>
              <w:top w:w="0" w:type="dxa"/>
              <w:left w:w="36" w:type="dxa"/>
              <w:bottom w:w="0" w:type="dxa"/>
              <w:right w:w="36" w:type="dxa"/>
            </w:tcMar>
            <w:vAlign w:val="center"/>
          </w:tcPr>
          <w:p w14:paraId="7A65003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0.001–8</w:t>
            </w:r>
          </w:p>
        </w:tc>
      </w:tr>
      <w:tr w:rsidR="004F01D1" w14:paraId="763CE57E" w14:textId="77777777" w:rsidTr="004F01D1">
        <w:tc>
          <w:tcPr>
            <w:tcW w:w="1200" w:type="dxa"/>
            <w:tcMar>
              <w:top w:w="0" w:type="dxa"/>
              <w:left w:w="36" w:type="dxa"/>
              <w:bottom w:w="0" w:type="dxa"/>
              <w:right w:w="36" w:type="dxa"/>
            </w:tcMar>
            <w:vAlign w:val="center"/>
          </w:tcPr>
          <w:p w14:paraId="285F58F2"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XGBoost (XGB)</w:t>
            </w:r>
          </w:p>
        </w:tc>
        <w:tc>
          <w:tcPr>
            <w:tcW w:w="1750" w:type="dxa"/>
            <w:tcMar>
              <w:top w:w="0" w:type="dxa"/>
              <w:left w:w="36" w:type="dxa"/>
              <w:bottom w:w="0" w:type="dxa"/>
              <w:right w:w="36" w:type="dxa"/>
            </w:tcMar>
            <w:vAlign w:val="center"/>
          </w:tcPr>
          <w:p w14:paraId="6CE40CD6"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n_estimators</w:t>
            </w:r>
          </w:p>
        </w:tc>
        <w:tc>
          <w:tcPr>
            <w:tcW w:w="1350" w:type="dxa"/>
            <w:tcMar>
              <w:top w:w="0" w:type="dxa"/>
              <w:left w:w="36" w:type="dxa"/>
              <w:bottom w:w="0" w:type="dxa"/>
              <w:right w:w="36" w:type="dxa"/>
            </w:tcMar>
            <w:vAlign w:val="center"/>
          </w:tcPr>
          <w:p w14:paraId="03CD4E2E"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50–200</w:t>
            </w:r>
          </w:p>
        </w:tc>
      </w:tr>
      <w:tr w:rsidR="004F01D1" w14:paraId="659350DC" w14:textId="77777777" w:rsidTr="004F01D1">
        <w:tc>
          <w:tcPr>
            <w:tcW w:w="1200" w:type="dxa"/>
            <w:tcMar>
              <w:top w:w="0" w:type="dxa"/>
              <w:left w:w="36" w:type="dxa"/>
              <w:bottom w:w="0" w:type="dxa"/>
              <w:right w:w="36" w:type="dxa"/>
            </w:tcMar>
            <w:vAlign w:val="center"/>
          </w:tcPr>
          <w:p w14:paraId="193D081D"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556D0565"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max_depth</w:t>
            </w:r>
          </w:p>
        </w:tc>
        <w:tc>
          <w:tcPr>
            <w:tcW w:w="1350" w:type="dxa"/>
            <w:tcMar>
              <w:top w:w="0" w:type="dxa"/>
              <w:left w:w="36" w:type="dxa"/>
              <w:bottom w:w="0" w:type="dxa"/>
              <w:right w:w="36" w:type="dxa"/>
            </w:tcMar>
            <w:vAlign w:val="center"/>
          </w:tcPr>
          <w:p w14:paraId="5274CAC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3–7</w:t>
            </w:r>
          </w:p>
        </w:tc>
      </w:tr>
      <w:tr w:rsidR="004F01D1" w14:paraId="3E167060" w14:textId="77777777" w:rsidTr="004F01D1">
        <w:tc>
          <w:tcPr>
            <w:tcW w:w="1200" w:type="dxa"/>
            <w:tcMar>
              <w:top w:w="0" w:type="dxa"/>
              <w:left w:w="36" w:type="dxa"/>
              <w:bottom w:w="0" w:type="dxa"/>
              <w:right w:w="36" w:type="dxa"/>
            </w:tcMar>
            <w:vAlign w:val="center"/>
          </w:tcPr>
          <w:p w14:paraId="5F9206B3"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0017E7C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learning_rate</w:t>
            </w:r>
          </w:p>
        </w:tc>
        <w:tc>
          <w:tcPr>
            <w:tcW w:w="1350" w:type="dxa"/>
            <w:tcMar>
              <w:top w:w="0" w:type="dxa"/>
              <w:left w:w="36" w:type="dxa"/>
              <w:bottom w:w="0" w:type="dxa"/>
              <w:right w:w="36" w:type="dxa"/>
            </w:tcMar>
            <w:vAlign w:val="center"/>
          </w:tcPr>
          <w:p w14:paraId="3022B214"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0.01–0.18</w:t>
            </w:r>
          </w:p>
        </w:tc>
      </w:tr>
      <w:tr w:rsidR="004F01D1" w14:paraId="3786C744" w14:textId="77777777" w:rsidTr="004F01D1">
        <w:tc>
          <w:tcPr>
            <w:tcW w:w="1200" w:type="dxa"/>
            <w:tcMar>
              <w:top w:w="0" w:type="dxa"/>
              <w:left w:w="36" w:type="dxa"/>
              <w:bottom w:w="0" w:type="dxa"/>
              <w:right w:w="36" w:type="dxa"/>
            </w:tcMar>
            <w:vAlign w:val="center"/>
          </w:tcPr>
          <w:p w14:paraId="7DE1E272"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5DB92BDE"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subsample</w:t>
            </w:r>
          </w:p>
        </w:tc>
        <w:tc>
          <w:tcPr>
            <w:tcW w:w="1350" w:type="dxa"/>
            <w:tcMar>
              <w:top w:w="0" w:type="dxa"/>
              <w:left w:w="36" w:type="dxa"/>
              <w:bottom w:w="0" w:type="dxa"/>
              <w:right w:w="36" w:type="dxa"/>
            </w:tcMar>
            <w:vAlign w:val="center"/>
          </w:tcPr>
          <w:p w14:paraId="23D4D89D"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0.70–1.00</w:t>
            </w:r>
          </w:p>
        </w:tc>
      </w:tr>
      <w:tr w:rsidR="004F01D1" w14:paraId="2D07C9EF" w14:textId="77777777" w:rsidTr="004F01D1">
        <w:tc>
          <w:tcPr>
            <w:tcW w:w="1200" w:type="dxa"/>
            <w:tcMar>
              <w:top w:w="0" w:type="dxa"/>
              <w:left w:w="36" w:type="dxa"/>
              <w:bottom w:w="0" w:type="dxa"/>
              <w:right w:w="36" w:type="dxa"/>
            </w:tcMar>
            <w:vAlign w:val="center"/>
          </w:tcPr>
          <w:p w14:paraId="48975970"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14F007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colsample_bytree</w:t>
            </w:r>
          </w:p>
        </w:tc>
        <w:tc>
          <w:tcPr>
            <w:tcW w:w="1350" w:type="dxa"/>
            <w:tcMar>
              <w:top w:w="0" w:type="dxa"/>
              <w:left w:w="36" w:type="dxa"/>
              <w:bottom w:w="0" w:type="dxa"/>
              <w:right w:w="36" w:type="dxa"/>
            </w:tcMar>
            <w:vAlign w:val="center"/>
          </w:tcPr>
          <w:p w14:paraId="7ED0D85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0.60–1.00</w:t>
            </w:r>
          </w:p>
        </w:tc>
      </w:tr>
      <w:tr w:rsidR="004F01D1" w14:paraId="535C5E61" w14:textId="77777777" w:rsidTr="004F01D1">
        <w:tc>
          <w:tcPr>
            <w:tcW w:w="1200" w:type="dxa"/>
            <w:tcMar>
              <w:top w:w="0" w:type="dxa"/>
              <w:left w:w="36" w:type="dxa"/>
              <w:bottom w:w="0" w:type="dxa"/>
              <w:right w:w="36" w:type="dxa"/>
            </w:tcMar>
            <w:vAlign w:val="center"/>
          </w:tcPr>
          <w:p w14:paraId="1EDAB150"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46D11B96"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reg_alpha, reg_lambda</w:t>
            </w:r>
          </w:p>
        </w:tc>
        <w:tc>
          <w:tcPr>
            <w:tcW w:w="1350" w:type="dxa"/>
            <w:tcMar>
              <w:top w:w="0" w:type="dxa"/>
              <w:left w:w="36" w:type="dxa"/>
              <w:bottom w:w="0" w:type="dxa"/>
              <w:right w:w="36" w:type="dxa"/>
            </w:tcMar>
            <w:vAlign w:val="center"/>
          </w:tcPr>
          <w:p w14:paraId="5F1C14F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0.001–10</w:t>
            </w:r>
          </w:p>
        </w:tc>
      </w:tr>
      <w:tr w:rsidR="004F01D1" w14:paraId="606EE8A8" w14:textId="77777777" w:rsidTr="004F01D1">
        <w:tc>
          <w:tcPr>
            <w:tcW w:w="1200" w:type="dxa"/>
            <w:tcMar>
              <w:top w:w="0" w:type="dxa"/>
              <w:left w:w="36" w:type="dxa"/>
              <w:bottom w:w="0" w:type="dxa"/>
              <w:right w:w="36" w:type="dxa"/>
            </w:tcMar>
            <w:vAlign w:val="center"/>
          </w:tcPr>
          <w:p w14:paraId="199DA09C"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HistGradient Boosting (HGB)</w:t>
            </w:r>
          </w:p>
        </w:tc>
        <w:tc>
          <w:tcPr>
            <w:tcW w:w="1750" w:type="dxa"/>
            <w:tcMar>
              <w:top w:w="0" w:type="dxa"/>
              <w:left w:w="36" w:type="dxa"/>
              <w:bottom w:w="0" w:type="dxa"/>
              <w:right w:w="36" w:type="dxa"/>
            </w:tcMar>
            <w:vAlign w:val="center"/>
          </w:tcPr>
          <w:p w14:paraId="4F272D54"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max_iter</w:t>
            </w:r>
          </w:p>
        </w:tc>
        <w:tc>
          <w:tcPr>
            <w:tcW w:w="1350" w:type="dxa"/>
            <w:tcMar>
              <w:top w:w="0" w:type="dxa"/>
              <w:left w:w="36" w:type="dxa"/>
              <w:bottom w:w="0" w:type="dxa"/>
              <w:right w:w="36" w:type="dxa"/>
            </w:tcMar>
            <w:vAlign w:val="center"/>
          </w:tcPr>
          <w:p w14:paraId="2D02D33F"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50–150</w:t>
            </w:r>
          </w:p>
        </w:tc>
      </w:tr>
      <w:tr w:rsidR="004F01D1" w14:paraId="6063B1E6" w14:textId="77777777" w:rsidTr="004F01D1">
        <w:tc>
          <w:tcPr>
            <w:tcW w:w="1200" w:type="dxa"/>
            <w:tcMar>
              <w:top w:w="0" w:type="dxa"/>
              <w:left w:w="36" w:type="dxa"/>
              <w:bottom w:w="0" w:type="dxa"/>
              <w:right w:w="36" w:type="dxa"/>
            </w:tcMar>
            <w:vAlign w:val="center"/>
          </w:tcPr>
          <w:p w14:paraId="19E06DE5"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51E49D24"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max_depth</w:t>
            </w:r>
          </w:p>
        </w:tc>
        <w:tc>
          <w:tcPr>
            <w:tcW w:w="1350" w:type="dxa"/>
            <w:tcMar>
              <w:top w:w="0" w:type="dxa"/>
              <w:left w:w="36" w:type="dxa"/>
              <w:bottom w:w="0" w:type="dxa"/>
              <w:right w:w="36" w:type="dxa"/>
            </w:tcMar>
            <w:vAlign w:val="center"/>
          </w:tcPr>
          <w:p w14:paraId="4A6D5BB3"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3–7</w:t>
            </w:r>
          </w:p>
        </w:tc>
      </w:tr>
      <w:tr w:rsidR="004F01D1" w14:paraId="3B871CDD" w14:textId="77777777" w:rsidTr="004F01D1">
        <w:tc>
          <w:tcPr>
            <w:tcW w:w="1200" w:type="dxa"/>
            <w:tcMar>
              <w:top w:w="0" w:type="dxa"/>
              <w:left w:w="36" w:type="dxa"/>
              <w:bottom w:w="0" w:type="dxa"/>
              <w:right w:w="36" w:type="dxa"/>
            </w:tcMar>
            <w:vAlign w:val="center"/>
          </w:tcPr>
          <w:p w14:paraId="6BACB685"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5BE2F0B8"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learning_rate</w:t>
            </w:r>
          </w:p>
        </w:tc>
        <w:tc>
          <w:tcPr>
            <w:tcW w:w="1350" w:type="dxa"/>
            <w:tcMar>
              <w:top w:w="0" w:type="dxa"/>
              <w:left w:w="36" w:type="dxa"/>
              <w:bottom w:w="0" w:type="dxa"/>
              <w:right w:w="36" w:type="dxa"/>
            </w:tcMar>
            <w:vAlign w:val="center"/>
          </w:tcPr>
          <w:p w14:paraId="2C39ABF8"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0.01–0.20</w:t>
            </w:r>
          </w:p>
        </w:tc>
      </w:tr>
      <w:tr w:rsidR="004F01D1" w14:paraId="3D31D7EE" w14:textId="77777777" w:rsidTr="004F01D1">
        <w:tc>
          <w:tcPr>
            <w:tcW w:w="1200" w:type="dxa"/>
            <w:tcMar>
              <w:top w:w="0" w:type="dxa"/>
              <w:left w:w="36" w:type="dxa"/>
              <w:bottom w:w="0" w:type="dxa"/>
              <w:right w:w="36" w:type="dxa"/>
            </w:tcMar>
            <w:vAlign w:val="center"/>
          </w:tcPr>
          <w:p w14:paraId="496B26F9"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2EC2EC6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min_samples_leaf</w:t>
            </w:r>
          </w:p>
        </w:tc>
        <w:tc>
          <w:tcPr>
            <w:tcW w:w="1350" w:type="dxa"/>
            <w:tcMar>
              <w:top w:w="0" w:type="dxa"/>
              <w:left w:w="36" w:type="dxa"/>
              <w:bottom w:w="0" w:type="dxa"/>
              <w:right w:w="36" w:type="dxa"/>
            </w:tcMar>
            <w:vAlign w:val="center"/>
          </w:tcPr>
          <w:p w14:paraId="06F341D9"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10–80</w:t>
            </w:r>
          </w:p>
        </w:tc>
      </w:tr>
      <w:tr w:rsidR="004F01D1" w14:paraId="4433AF2F" w14:textId="77777777" w:rsidTr="004F01D1">
        <w:tc>
          <w:tcPr>
            <w:tcW w:w="1200" w:type="dxa"/>
            <w:tcMar>
              <w:top w:w="0" w:type="dxa"/>
              <w:left w:w="36" w:type="dxa"/>
              <w:bottom w:w="0" w:type="dxa"/>
              <w:right w:w="36" w:type="dxa"/>
            </w:tcMar>
            <w:vAlign w:val="center"/>
          </w:tcPr>
          <w:p w14:paraId="3C35A4D8" w14:textId="77777777" w:rsidR="004F01D1" w:rsidRDefault="004F01D1">
            <w:pPr>
              <w:spacing w:before="20" w:after="20"/>
              <w:ind w:firstLine="0"/>
              <w:jc w:val="left"/>
              <w:rPr>
                <w:sz w:val="14"/>
                <w:szCs w:val="14"/>
                <w:lang w:eastAsia="en-US"/>
              </w:rPr>
            </w:pPr>
          </w:p>
        </w:tc>
        <w:tc>
          <w:tcPr>
            <w:tcW w:w="1750" w:type="dxa"/>
            <w:tcMar>
              <w:top w:w="0" w:type="dxa"/>
              <w:left w:w="36" w:type="dxa"/>
              <w:bottom w:w="0" w:type="dxa"/>
              <w:right w:w="36" w:type="dxa"/>
            </w:tcMar>
            <w:vAlign w:val="center"/>
          </w:tcPr>
          <w:p w14:paraId="7101D51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l2_regularization</w:t>
            </w:r>
          </w:p>
        </w:tc>
        <w:tc>
          <w:tcPr>
            <w:tcW w:w="1350" w:type="dxa"/>
            <w:tcMar>
              <w:top w:w="0" w:type="dxa"/>
              <w:left w:w="36" w:type="dxa"/>
              <w:bottom w:w="0" w:type="dxa"/>
              <w:right w:w="36" w:type="dxa"/>
            </w:tcMar>
            <w:vAlign w:val="center"/>
          </w:tcPr>
          <w:p w14:paraId="6E58153D"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0.001–10</w:t>
            </w:r>
          </w:p>
        </w:tc>
      </w:tr>
    </w:tbl>
    <w:p w14:paraId="0DD478D1" w14:textId="77777777" w:rsidR="004F01D1" w:rsidRDefault="004F01D1">
      <w:pPr>
        <w:rPr>
          <w:lang w:eastAsia="en-US"/>
        </w:rPr>
      </w:pPr>
    </w:p>
    <w:p w14:paraId="2B2B9C21" w14:textId="77777777" w:rsidR="004F01D1" w:rsidRDefault="00000000">
      <w:pPr>
        <w:pStyle w:val="Ttulo2"/>
        <w:rPr>
          <w:lang w:eastAsia="en-US"/>
        </w:rPr>
      </w:pPr>
      <w:r>
        <w:rPr>
          <w:lang w:eastAsia="en-US"/>
        </w:rPr>
        <w:t>G.</w:t>
      </w:r>
      <w:r>
        <w:rPr>
          <w:lang w:eastAsia="en-US"/>
        </w:rPr>
        <w:tab/>
        <w:t>Validation Strategy</w:t>
      </w:r>
    </w:p>
    <w:p w14:paraId="43116C4A" w14:textId="77777777" w:rsidR="004F01D1" w:rsidRDefault="00000000">
      <w:pPr>
        <w:rPr>
          <w:lang w:eastAsia="en-US"/>
        </w:rPr>
      </w:pPr>
      <w:r>
        <w:rPr>
          <w:lang w:eastAsia="en-US"/>
        </w:rPr>
        <w:t>Model evaluation used three related procedures. Hyperparameters were explored with 3 × 3 nested cross-validation on a reproducible 50,000-record subsample from 2015–2024. Leave-one-year-out analyses on the same sampling scale described temporal variability within 2015–2024. Each final algorithm was then fitted on all 2015–2024 records (n = 4,508,669), and predictions were generated for the 2025 holdout (n = 345,020).</w:t>
      </w:r>
    </w:p>
    <w:p w14:paraId="0E74259B" w14:textId="77777777" w:rsidR="004F01D1" w:rsidRDefault="00000000">
      <w:pPr>
        <w:rPr>
          <w:lang w:eastAsia="en-US"/>
        </w:rPr>
      </w:pPr>
      <w:r>
        <w:rPr>
          <w:lang w:eastAsia="en-US"/>
        </w:rPr>
        <w:t>The 2025 records were isolated from parameter fitting, but they were subsequently used for several decisions: comparison of the eight algorithms, designation of HistGradientBoosting as the index model, selection of the F1-optimal threshold, comparison of recalibration methods, decision-curve analysis, and subgroup assessment. Thus, 2025 is a temporal holdout for model fitting but not a fully locked confirmatory test for all reported post hoc choices. Bootstrap confidence intervals used 1,000 resamples of the same holdout.</w:t>
      </w:r>
    </w:p>
    <w:p w14:paraId="18D3732B" w14:textId="77777777" w:rsidR="004F01D1" w:rsidRDefault="00000000">
      <w:pPr>
        <w:pStyle w:val="Ttulo2"/>
        <w:rPr>
          <w:lang w:eastAsia="en-US"/>
        </w:rPr>
      </w:pPr>
      <w:r>
        <w:rPr>
          <w:lang w:eastAsia="en-US"/>
        </w:rPr>
        <w:t>H. Model Evaluation</w:t>
      </w:r>
    </w:p>
    <w:p w14:paraId="02F5F385" w14:textId="77777777" w:rsidR="004F01D1" w:rsidRDefault="00000000">
      <w:pPr>
        <w:rPr>
          <w:lang w:eastAsia="en-US"/>
        </w:rPr>
      </w:pPr>
      <w:r>
        <w:rPr>
          <w:lang w:eastAsia="en-US"/>
        </w:rPr>
        <w:t>Model evaluation was structured into three components:</w:t>
      </w:r>
    </w:p>
    <w:p w14:paraId="308BDFF4" w14:textId="77777777" w:rsidR="004F01D1" w:rsidRDefault="00000000">
      <w:pPr>
        <w:rPr>
          <w:lang w:eastAsia="en-US"/>
        </w:rPr>
      </w:pPr>
      <w:r>
        <w:rPr>
          <w:lang w:eastAsia="en-US"/>
        </w:rPr>
        <w:t>1) Discrimination: recall, specificity, precision, F1-score, ROC-AUC, PR-AUC, Matthews correlation coefficient (MCC), balanced accuracy, and negative predictive value (NPV), with PR-AUC considered the primary complementary metric because of the class imbalance.</w:t>
      </w:r>
    </w:p>
    <w:p w14:paraId="011B54AF" w14:textId="77777777" w:rsidR="004F01D1" w:rsidRDefault="00000000">
      <w:pPr>
        <w:rPr>
          <w:lang w:eastAsia="en-US"/>
        </w:rPr>
      </w:pPr>
      <w:r>
        <w:rPr>
          <w:lang w:eastAsia="en-US"/>
        </w:rPr>
        <w:t>2) Calibration: Brier score, expected calibration error (ECE), maximum calibration error, and the Hosmer–Lemeshow test were computed on the 2025 predictions. Temperature scaling, isotonic regression, and Platt scaling were fitted and assessed on those same predictions to quantify apparent recalibration only; no separate calibration cohort was available.</w:t>
      </w:r>
    </w:p>
    <w:p w14:paraId="108C7B2B" w14:textId="77777777" w:rsidR="004F01D1" w:rsidRDefault="00000000">
      <w:pPr>
        <w:rPr>
          <w:lang w:eastAsia="en-US"/>
        </w:rPr>
      </w:pPr>
      <w:r>
        <w:rPr>
          <w:lang w:eastAsia="en-US"/>
        </w:rPr>
        <w:t>3) Threshold selection: six strategies were examined on the 2025 predictions. The threshold maximizing F1 was reported descriptively. Because the threshold and its performance were estimated on the same observations, threshold-dependent metrics were not treated as independent validation results.</w:t>
      </w:r>
    </w:p>
    <w:p w14:paraId="785DDFEF" w14:textId="77777777" w:rsidR="004F01D1" w:rsidRDefault="00000000">
      <w:pPr>
        <w:pStyle w:val="Ttulo2"/>
        <w:rPr>
          <w:lang w:eastAsia="en-US"/>
        </w:rPr>
      </w:pPr>
      <w:r>
        <w:rPr>
          <w:lang w:eastAsia="en-US"/>
        </w:rPr>
        <w:t>I. Complementary Analyses</w:t>
      </w:r>
    </w:p>
    <w:p w14:paraId="4464CBD2" w14:textId="77777777" w:rsidR="004F01D1" w:rsidRDefault="00000000">
      <w:pPr>
        <w:rPr>
          <w:lang w:eastAsia="en-US"/>
        </w:rPr>
      </w:pPr>
      <w:r>
        <w:rPr>
          <w:lang w:eastAsia="en-US"/>
        </w:rPr>
        <w:t>The complementary analyses were diagnostic and were not used to establish clinical usefulness. They characterized interpretability, fairness, temporal stability, robustness, calibration limitations, and decision-curve behavior.</w:t>
      </w:r>
    </w:p>
    <w:p w14:paraId="69EC2069" w14:textId="77777777" w:rsidR="004F01D1" w:rsidRDefault="00000000">
      <w:pPr>
        <w:rPr>
          <w:lang w:eastAsia="en-US"/>
        </w:rPr>
      </w:pPr>
      <w:r>
        <w:rPr>
          <w:lang w:eastAsia="en-US"/>
        </w:rPr>
        <w:t>Decision Curve Analysis (DCA) compared each model with treat-all and treat-none strategies over threshold probabilities from 0.01 to 0.50. Because the input probabilities were uncalibrated and no independent calibration-validation sequence was available, fixed probability bands were not retained as validated clinical risk categories.</w:t>
      </w:r>
    </w:p>
    <w:p w14:paraId="22A45648" w14:textId="77777777" w:rsidR="004F01D1" w:rsidRDefault="00000000">
      <w:pPr>
        <w:rPr>
          <w:lang w:eastAsia="en-US"/>
        </w:rPr>
      </w:pPr>
      <w:r>
        <w:rPr>
          <w:lang w:eastAsia="en-US"/>
        </w:rPr>
        <w:t xml:space="preserve">Model interpretability was assessed using SHAP values computed with PermutationExplainer, complemented by permutation feature importance and partial dependence plots (PDPs) and individual conditional expectation (ICE) plots </w:t>
      </w:r>
      <w:r>
        <w:fldChar w:fldCharType="begin"/>
      </w:r>
      <w:r>
        <w:rPr>
          <w:lang w:eastAsia="en-US"/>
        </w:rPr>
        <w:instrText>ADDIN ZOTERO_ITEM CSL_CITATION {"citationID":"LhmHuDLn","properties":{"unsorted":false,"formattedCitation":"[13], [29]","plainCitation":"[13], [29]","noteIndex":0},"citationItems":[{"id":189,"uris":["http://zotero.org/users/local/0z44BwR0/items/5Z4QZ7AY"],"itemData":{"id":189,"type":"article","abstract":"Understanding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7,25]]},"issued":{"date-parts":[["2017",11,25]]}}},{"id":257,"uris":["http://zotero.org/users/local/0z44BwR0/items/HRE98GU2"],"itemData":{"id":257,"type":"book","edition":"3rd","publisher":"Christoph Molnar","title":"Interpretable Machine Learning: A Guide for Making Black Box Models Explainable","URL":"https://christophm.github.io/interpretable-ml-book/","author":[{"family":"Molnar","given":"Christoph"}],"issued":{"date-parts":[["2022"]]}}}],"schema":"https://github.com/citation-style-language/schema/raw/master/csl-citation.json"}</w:instrText>
      </w:r>
      <w:r>
        <w:rPr>
          <w:lang w:eastAsia="en-US"/>
        </w:rPr>
        <w:fldChar w:fldCharType="separate"/>
      </w:r>
      <w:r>
        <w:rPr>
          <w:lang w:eastAsia="en-US"/>
        </w:rPr>
        <w:t>[13], [29]</w:t>
      </w:r>
      <w:r>
        <w:rPr>
          <w:lang w:eastAsia="en-US"/>
        </w:rPr>
        <w:fldChar w:fldCharType="end"/>
      </w:r>
      <w:r>
        <w:rPr>
          <w:lang w:eastAsia="en-US"/>
        </w:rPr>
        <w:t>.</w:t>
      </w:r>
    </w:p>
    <w:p w14:paraId="158EBE7B" w14:textId="77777777" w:rsidR="004F01D1" w:rsidRDefault="00000000">
      <w:pPr>
        <w:rPr>
          <w:lang w:eastAsia="en-US"/>
        </w:rPr>
      </w:pPr>
      <w:r>
        <w:rPr>
          <w:lang w:eastAsia="en-US"/>
        </w:rPr>
        <w:t xml:space="preserve">Fairness was evaluated across newborn sex, natural region, and maternal age group (≥200 observations per subgroup) using ROC-AUC, recall, false positive rate, positive predictive value, demographic parity, and calibration gap </w:t>
      </w:r>
      <w:r>
        <w:fldChar w:fldCharType="begin"/>
      </w:r>
      <w:r>
        <w:rPr>
          <w:lang w:eastAsia="en-US"/>
        </w:rPr>
        <w:instrText>ADDIN ZOTERO_ITEM CSL_CITATION {"citationID":"wDPTk8kt","properties":{"unsorted":false,"formattedCitation":"[30]","plainCitation":"[30]","noteIndex":0},"citationItems":[{"id":143,"uris":["http://zotero.org/users/local/0z44BwR0/items/CBYW22D7"],"itemData":{"id":143,"type":"article-journal","container-title":"Annals of Internal Medicine","DOI":"10.7326/M18-1990","issue":"12","page":"866–872","title":"Ensuring Fairness in Machine Learning to Advance Health Equity","volume":"169","author":[{"family":"Rajkomar","given":"Alvin"},{"family":"Hardt","given":"Moritz"},{"family":"Howell","given":"Michael D."},{"family":"Corrado","given":"Greg S."},{"family":"Chin","given":"Marshall H."}],"issued":{"date-parts":[["2018"]]}}}],"schema":"https://github.com/citation-style-language/schema/raw/master/csl-citation.json"}</w:instrText>
      </w:r>
      <w:r>
        <w:rPr>
          <w:lang w:eastAsia="en-US"/>
        </w:rPr>
        <w:fldChar w:fldCharType="separate"/>
      </w:r>
      <w:r>
        <w:rPr>
          <w:lang w:eastAsia="en-US"/>
        </w:rPr>
        <w:t>[30]</w:t>
      </w:r>
      <w:r>
        <w:rPr>
          <w:lang w:eastAsia="en-US"/>
        </w:rPr>
        <w:fldChar w:fldCharType="end"/>
      </w:r>
      <w:r>
        <w:rPr>
          <w:lang w:eastAsia="en-US"/>
        </w:rPr>
        <w:t>.</w:t>
      </w:r>
    </w:p>
    <w:p w14:paraId="202E429C" w14:textId="77777777" w:rsidR="004F01D1" w:rsidRDefault="00000000">
      <w:pPr>
        <w:rPr>
          <w:lang w:eastAsia="en-US"/>
        </w:rPr>
      </w:pPr>
      <w:r>
        <w:rPr>
          <w:lang w:eastAsia="en-US"/>
        </w:rPr>
        <w:t xml:space="preserve">Finally, temporal stability was quantified using the Population Stability Index (PSI), Wasserstein distance, the Kolmogorov–Smirnov statistic, and the Jensen–Shannon divergence to detect distributional changes in the data across time periods </w:t>
      </w:r>
      <w:r>
        <w:fldChar w:fldCharType="begin"/>
      </w:r>
      <w:r>
        <w:rPr>
          <w:lang w:eastAsia="en-US"/>
        </w:rPr>
        <w:instrText>ADDIN ZOTERO_ITEM CSL_CITATION {"citationID":"1kAXzvf4","properties":{"unsorted":false,"formattedCitation":"[31]","plainCitation":"[31]","noteIndex":0},"citationItems":[{"id":259,"uris":["http://zotero.org/users/local/0z44BwR0/items/5FA2AEB9"],"itemData":{"id":259,"type":"article-journal","container-title":"Pattern Recognition","DOI":"10.1016/j.patcog.2011.06.019","ISSN":"00313203","issue":"1","journalAbbreviation":"Pattern Recognition","language":"en","page":"521-530","source":"DOI.org (Crossref)","title":"A unifying view on dataset shift in classification","URL":"https://linkinghub.elsevier.com/retrieve/pii/S0031320311002901","volume":"45","author":[{"family":"Moreno-Torres","given":"Jose G."},{"family":"Raeder","given":"Troy"},{"family":"Alaiz-Rodríguez","given":"Rocío"},{"family":"Chawla","given":"Nitesh V."},{"family":"Herrera","given":"Francisco"}],"accessed":{"date-parts":[["2026",7,27]]},"issued":{"date-parts":[["2012",1]]}}}],"schema":"https://github.com/citation-style-language/schema/raw/master/csl-citation.json"}</w:instrText>
      </w:r>
      <w:r>
        <w:rPr>
          <w:lang w:eastAsia="en-US"/>
        </w:rPr>
        <w:fldChar w:fldCharType="separate"/>
      </w:r>
      <w:r>
        <w:rPr>
          <w:lang w:eastAsia="en-US"/>
        </w:rPr>
        <w:t>[31]</w:t>
      </w:r>
      <w:r>
        <w:rPr>
          <w:lang w:eastAsia="en-US"/>
        </w:rPr>
        <w:fldChar w:fldCharType="end"/>
      </w:r>
      <w:r>
        <w:rPr>
          <w:lang w:eastAsia="en-US"/>
        </w:rPr>
        <w:t>. Robustness was evaluated by introducing random perturbations, completely random missing data, and noise into numerical variables at intensities of 0.05, 0.15, and 0.30.</w:t>
      </w:r>
    </w:p>
    <w:p w14:paraId="29BE30EB" w14:textId="77777777" w:rsidR="004F01D1" w:rsidRDefault="00000000">
      <w:pPr>
        <w:pStyle w:val="Ttulo1"/>
        <w:rPr>
          <w:lang w:eastAsia="en-US"/>
        </w:rPr>
      </w:pPr>
      <w:r>
        <w:rPr>
          <w:lang w:eastAsia="en-US"/>
        </w:rPr>
        <w:t>IV. RESULTS</w:t>
      </w:r>
    </w:p>
    <w:p w14:paraId="00675D79" w14:textId="77777777" w:rsidR="004F01D1" w:rsidRDefault="00000000">
      <w:pPr>
        <w:pStyle w:val="Ttulo2"/>
        <w:rPr>
          <w:lang w:eastAsia="en-US"/>
        </w:rPr>
      </w:pPr>
      <w:r>
        <w:rPr>
          <w:lang w:eastAsia="en-US"/>
        </w:rPr>
        <w:t>A.</w:t>
      </w:r>
      <w:r>
        <w:rPr>
          <w:lang w:eastAsia="en-US"/>
        </w:rPr>
        <w:tab/>
        <w:t>Model Comparison</w:t>
      </w:r>
    </w:p>
    <w:p w14:paraId="1879A3FB" w14:textId="77777777" w:rsidR="004F01D1" w:rsidRDefault="00000000">
      <w:pPr>
        <w:rPr>
          <w:lang w:eastAsia="en-US"/>
        </w:rPr>
      </w:pPr>
      <w:r>
        <w:rPr>
          <w:lang w:eastAsia="en-US"/>
        </w:rPr>
        <w:t>The ranking differed by evaluation stage. CatBoost had the highest mean nested cross-validation ROC-AUC (0.6705), followed by XGBoost (0.6672) and LightGBM (0.6665); HistGradientBoosting ranked lower in nested cross-validation (0.6621). On the 2025 holdout, HistGradientBoosting had the highest descriptive ROC-AUC (0.6924) and PR-AUC (0.1630), closely followed by CatBoost (ROC-AUC, 0.6903; PR-AUC, 0.1603). HistGradientBoosting is therefore described as the best-performing algorithm on the 2025 holdout, not as a model independently selected before that holdout was inspected.</w:t>
      </w:r>
    </w:p>
    <w:p w14:paraId="0D94906E" w14:textId="77777777" w:rsidR="004F01D1" w:rsidRDefault="00000000">
      <w:pPr>
        <w:pStyle w:val="TableCaption"/>
        <w:rPr>
          <w:lang w:eastAsia="en-US"/>
        </w:rPr>
      </w:pPr>
      <w:r>
        <w:rPr>
          <w:lang w:eastAsia="en-US"/>
        </w:rPr>
        <w:t>Table IV. Descriptive Performance on the 2025 Temporal Holdout</w:t>
      </w:r>
    </w:p>
    <w:tbl>
      <w:tblPr>
        <w:tblStyle w:val="Estilo1"/>
        <w:tblLook w:val="04A0" w:firstRow="1" w:lastRow="0" w:firstColumn="1" w:lastColumn="0" w:noHBand="0" w:noVBand="1"/>
        <w:tblW w:w="4300" w:type="dxa"/>
        <w:tblInd w:w="0" w:type="dxa"/>
        <w:tblLayout w:type="fixed"/>
      </w:tblPr>
      <w:tblGrid>
        <w:gridCol w:w="1550"/>
        <w:gridCol w:w="1450"/>
        <w:gridCol w:w="650"/>
        <w:gridCol w:w="650"/>
      </w:tblGrid>
      <w:tr w:rsidR="004F01D1" w14:paraId="4D05E54F"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550" w:type="dxa"/>
            <w:tcBorders>
              <w:bottom w:val="single" w:sz="4" w:space="0" w:color="000000"/>
            </w:tcBorders>
            <w:tcMar>
              <w:top w:w="0" w:type="dxa"/>
              <w:left w:w="36" w:type="dxa"/>
              <w:bottom w:w="0" w:type="dxa"/>
              <w:right w:w="36" w:type="dxa"/>
            </w:tcMar>
            <w:vAlign w:val="center"/>
          </w:tcPr>
          <w:p w14:paraId="17758F4E" w14:textId="77777777" w:rsidR="004F01D1" w:rsidRDefault="00000000">
            <w:pPr>
              <w:spacing w:before="20" w:after="20"/>
              <w:ind w:firstLine="0"/>
              <w:jc w:val="left"/>
              <w:rPr>
                <w:bCs/>
                <w:sz w:val="14"/>
                <w:szCs w:val="14"/>
                <w:lang w:eastAsia="en-US"/>
              </w:rPr>
            </w:pPr>
            <w:r>
              <w:rPr>
                <w:rFonts w:ascii="Times New Roman" w:hAnsi="Times New Roman"/>
                <w:b/>
                <w:bCs/>
                <w:sz w:val="13"/>
                <w:szCs w:val="14"/>
                <w:lang w:eastAsia="en-US"/>
              </w:rPr>
              <w:t>Model</w:t>
            </w:r>
          </w:p>
        </w:tc>
        <w:tc>
          <w:tcPr>
            <w:tcW w:w="1450" w:type="dxa"/>
            <w:tcBorders>
              <w:bottom w:val="single" w:sz="4" w:space="0" w:color="000000"/>
            </w:tcBorders>
            <w:tcMar>
              <w:top w:w="0" w:type="dxa"/>
              <w:left w:w="36" w:type="dxa"/>
              <w:bottom w:w="0" w:type="dxa"/>
              <w:right w:w="36" w:type="dxa"/>
            </w:tcMar>
            <w:vAlign w:val="center"/>
          </w:tcPr>
          <w:p w14:paraId="140769FA" w14:textId="77777777" w:rsidR="004F01D1" w:rsidRDefault="00000000">
            <w:pPr>
              <w:spacing w:before="20" w:after="20"/>
              <w:ind w:firstLine="0"/>
              <w:jc w:val="center"/>
              <w:rPr>
                <w:bCs/>
                <w:sz w:val="14"/>
                <w:szCs w:val="14"/>
                <w:lang w:eastAsia="en-US"/>
              </w:rPr>
            </w:pPr>
            <w:r>
              <w:rPr>
                <w:rFonts w:ascii="Times New Roman" w:hAnsi="Times New Roman"/>
                <w:b/>
                <w:bCs/>
                <w:sz w:val="13"/>
                <w:szCs w:val="14"/>
                <w:lang w:eastAsia="en-US"/>
              </w:rPr>
              <w:t>AUROC (95% CI)</w:t>
            </w:r>
          </w:p>
        </w:tc>
        <w:tc>
          <w:tcPr>
            <w:tcW w:w="650" w:type="dxa"/>
            <w:tcBorders>
              <w:bottom w:val="single" w:sz="4" w:space="0" w:color="000000"/>
            </w:tcBorders>
            <w:tcMar>
              <w:top w:w="0" w:type="dxa"/>
              <w:left w:w="36" w:type="dxa"/>
              <w:bottom w:w="0" w:type="dxa"/>
              <w:right w:w="36" w:type="dxa"/>
            </w:tcMar>
            <w:vAlign w:val="center"/>
          </w:tcPr>
          <w:p w14:paraId="7B796228" w14:textId="77777777" w:rsidR="004F01D1" w:rsidRDefault="00000000">
            <w:pPr>
              <w:spacing w:before="20" w:after="20"/>
              <w:ind w:firstLine="0"/>
              <w:jc w:val="center"/>
              <w:rPr>
                <w:bCs/>
                <w:sz w:val="14"/>
                <w:szCs w:val="14"/>
                <w:lang w:eastAsia="en-US"/>
              </w:rPr>
            </w:pPr>
            <w:r>
              <w:rPr>
                <w:rFonts w:ascii="Times New Roman" w:hAnsi="Times New Roman"/>
                <w:b/>
                <w:bCs/>
                <w:sz w:val="13"/>
                <w:szCs w:val="14"/>
                <w:lang w:eastAsia="en-US"/>
              </w:rPr>
              <w:t>PR-AUC</w:t>
            </w:r>
          </w:p>
        </w:tc>
        <w:tc>
          <w:tcPr>
            <w:tcW w:w="650" w:type="dxa"/>
            <w:tcBorders>
              <w:bottom w:val="single" w:sz="4" w:space="0" w:color="000000"/>
            </w:tcBorders>
            <w:tcMar>
              <w:top w:w="0" w:type="dxa"/>
              <w:left w:w="36" w:type="dxa"/>
              <w:bottom w:w="0" w:type="dxa"/>
              <w:right w:w="36" w:type="dxa"/>
            </w:tcMar>
            <w:vAlign w:val="center"/>
          </w:tcPr>
          <w:p w14:paraId="7AB78FB8" w14:textId="77777777" w:rsidR="004F01D1" w:rsidRDefault="00000000">
            <w:pPr>
              <w:spacing w:before="20" w:after="20"/>
              <w:ind w:firstLine="0"/>
              <w:jc w:val="center"/>
              <w:rPr>
                <w:bCs/>
                <w:sz w:val="14"/>
                <w:szCs w:val="14"/>
                <w:lang w:eastAsia="en-US"/>
              </w:rPr>
            </w:pPr>
            <w:r>
              <w:rPr>
                <w:rFonts w:ascii="Times New Roman" w:hAnsi="Times New Roman"/>
                <w:b/>
                <w:bCs/>
                <w:sz w:val="13"/>
                <w:szCs w:val="14"/>
                <w:lang w:eastAsia="en-US"/>
              </w:rPr>
              <w:t>Recall</w:t>
            </w:r>
          </w:p>
        </w:tc>
      </w:tr>
      <w:tr w:rsidR="004F01D1" w14:paraId="34B1322B" w14:textId="77777777" w:rsidTr="004F01D1">
        <w:tc>
          <w:tcPr>
            <w:tcW w:w="1550" w:type="dxa"/>
            <w:tcMar>
              <w:top w:w="0" w:type="dxa"/>
              <w:left w:w="36" w:type="dxa"/>
              <w:bottom w:w="0" w:type="dxa"/>
              <w:right w:w="36" w:type="dxa"/>
            </w:tcMar>
            <w:vAlign w:val="center"/>
          </w:tcPr>
          <w:p w14:paraId="763AD7DF"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Logistic Regression</w:t>
            </w:r>
          </w:p>
        </w:tc>
        <w:tc>
          <w:tcPr>
            <w:tcW w:w="1450" w:type="dxa"/>
            <w:tcMar>
              <w:top w:w="0" w:type="dxa"/>
              <w:left w:w="36" w:type="dxa"/>
              <w:bottom w:w="0" w:type="dxa"/>
              <w:right w:w="36" w:type="dxa"/>
            </w:tcMar>
            <w:vAlign w:val="center"/>
          </w:tcPr>
          <w:p w14:paraId="4A786D7D"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0.668 (0.665–0.672)</w:t>
            </w:r>
          </w:p>
        </w:tc>
        <w:tc>
          <w:tcPr>
            <w:tcW w:w="650" w:type="dxa"/>
            <w:tcMar>
              <w:top w:w="0" w:type="dxa"/>
              <w:left w:w="36" w:type="dxa"/>
              <w:bottom w:w="0" w:type="dxa"/>
              <w:right w:w="36" w:type="dxa"/>
            </w:tcMar>
            <w:vAlign w:val="center"/>
          </w:tcPr>
          <w:p w14:paraId="090D2869"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0.114</w:t>
            </w:r>
          </w:p>
        </w:tc>
        <w:tc>
          <w:tcPr>
            <w:tcW w:w="650" w:type="dxa"/>
            <w:tcMar>
              <w:top w:w="0" w:type="dxa"/>
              <w:left w:w="36" w:type="dxa"/>
              <w:bottom w:w="0" w:type="dxa"/>
              <w:right w:w="36" w:type="dxa"/>
            </w:tcMar>
            <w:vAlign w:val="center"/>
          </w:tcPr>
          <w:p w14:paraId="58D3E90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0.473</w:t>
            </w:r>
          </w:p>
        </w:tc>
      </w:tr>
      <w:tr w:rsidR="004F01D1" w14:paraId="4DFFBC02" w14:textId="77777777" w:rsidTr="004F01D1">
        <w:tc>
          <w:tcPr>
            <w:tcW w:w="1550" w:type="dxa"/>
            <w:tcMar>
              <w:top w:w="0" w:type="dxa"/>
              <w:left w:w="36" w:type="dxa"/>
              <w:bottom w:w="0" w:type="dxa"/>
              <w:right w:w="36" w:type="dxa"/>
            </w:tcMar>
            <w:vAlign w:val="center"/>
          </w:tcPr>
          <w:p w14:paraId="0CDE63A1"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Random Forest</w:t>
            </w:r>
          </w:p>
        </w:tc>
        <w:tc>
          <w:tcPr>
            <w:tcW w:w="1450" w:type="dxa"/>
            <w:tcMar>
              <w:top w:w="0" w:type="dxa"/>
              <w:left w:w="36" w:type="dxa"/>
              <w:bottom w:w="0" w:type="dxa"/>
              <w:right w:w="36" w:type="dxa"/>
            </w:tcMar>
            <w:vAlign w:val="center"/>
          </w:tcPr>
          <w:p w14:paraId="4AA0E05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0.679 (0.675–0.682)</w:t>
            </w:r>
          </w:p>
        </w:tc>
        <w:tc>
          <w:tcPr>
            <w:tcW w:w="650" w:type="dxa"/>
            <w:tcMar>
              <w:top w:w="0" w:type="dxa"/>
              <w:left w:w="36" w:type="dxa"/>
              <w:bottom w:w="0" w:type="dxa"/>
              <w:right w:w="36" w:type="dxa"/>
            </w:tcMar>
            <w:vAlign w:val="center"/>
          </w:tcPr>
          <w:p w14:paraId="18CA728C"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0.132</w:t>
            </w:r>
          </w:p>
        </w:tc>
        <w:tc>
          <w:tcPr>
            <w:tcW w:w="650" w:type="dxa"/>
            <w:tcMar>
              <w:top w:w="0" w:type="dxa"/>
              <w:left w:w="36" w:type="dxa"/>
              <w:bottom w:w="0" w:type="dxa"/>
              <w:right w:w="36" w:type="dxa"/>
            </w:tcMar>
            <w:vAlign w:val="center"/>
          </w:tcPr>
          <w:p w14:paraId="299926A6"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0.331</w:t>
            </w:r>
          </w:p>
        </w:tc>
      </w:tr>
      <w:tr w:rsidR="004F01D1" w14:paraId="6AED1006" w14:textId="77777777" w:rsidTr="004F01D1">
        <w:tc>
          <w:tcPr>
            <w:tcW w:w="1550" w:type="dxa"/>
            <w:tcMar>
              <w:top w:w="0" w:type="dxa"/>
              <w:left w:w="36" w:type="dxa"/>
              <w:bottom w:w="0" w:type="dxa"/>
              <w:right w:w="36" w:type="dxa"/>
            </w:tcMar>
            <w:vAlign w:val="center"/>
          </w:tcPr>
          <w:p w14:paraId="66DC7663"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XGBoost</w:t>
            </w:r>
          </w:p>
        </w:tc>
        <w:tc>
          <w:tcPr>
            <w:tcW w:w="1450" w:type="dxa"/>
            <w:tcMar>
              <w:top w:w="0" w:type="dxa"/>
              <w:left w:w="36" w:type="dxa"/>
              <w:bottom w:w="0" w:type="dxa"/>
              <w:right w:w="36" w:type="dxa"/>
            </w:tcMar>
            <w:vAlign w:val="center"/>
          </w:tcPr>
          <w:p w14:paraId="32B68FC1"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0.680 (0.676–0.683)</w:t>
            </w:r>
          </w:p>
        </w:tc>
        <w:tc>
          <w:tcPr>
            <w:tcW w:w="650" w:type="dxa"/>
            <w:tcMar>
              <w:top w:w="0" w:type="dxa"/>
              <w:left w:w="36" w:type="dxa"/>
              <w:bottom w:w="0" w:type="dxa"/>
              <w:right w:w="36" w:type="dxa"/>
            </w:tcMar>
            <w:vAlign w:val="center"/>
          </w:tcPr>
          <w:p w14:paraId="20B5A626"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0.131</w:t>
            </w:r>
          </w:p>
        </w:tc>
        <w:tc>
          <w:tcPr>
            <w:tcW w:w="650" w:type="dxa"/>
            <w:tcMar>
              <w:top w:w="0" w:type="dxa"/>
              <w:left w:w="36" w:type="dxa"/>
              <w:bottom w:w="0" w:type="dxa"/>
              <w:right w:w="36" w:type="dxa"/>
            </w:tcMar>
            <w:vAlign w:val="center"/>
          </w:tcPr>
          <w:p w14:paraId="73B3BAC5"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0.401</w:t>
            </w:r>
          </w:p>
        </w:tc>
      </w:tr>
      <w:tr w:rsidR="004F01D1" w14:paraId="1873FE7D" w14:textId="77777777" w:rsidTr="004F01D1">
        <w:tc>
          <w:tcPr>
            <w:tcW w:w="1550" w:type="dxa"/>
            <w:tcMar>
              <w:top w:w="0" w:type="dxa"/>
              <w:left w:w="36" w:type="dxa"/>
              <w:bottom w:w="0" w:type="dxa"/>
              <w:right w:w="36" w:type="dxa"/>
            </w:tcMar>
            <w:vAlign w:val="center"/>
          </w:tcPr>
          <w:p w14:paraId="238C9929" w14:textId="77777777" w:rsidR="004F01D1" w:rsidRDefault="00000000">
            <w:pPr>
              <w:spacing w:before="20" w:after="20"/>
              <w:ind w:firstLine="0"/>
              <w:jc w:val="left"/>
            </w:pPr>
            <w:r>
              <w:rPr>
                <w:rFonts w:ascii="Times New Roman" w:hAnsi="Times New Roman"/>
                <w:sz w:val="13"/>
                <w:szCs w:val="14"/>
                <w:lang w:eastAsia="en-US"/>
              </w:rPr>
              <w:t>LightGBM</w:t>
            </w:r>
          </w:p>
        </w:tc>
        <w:tc>
          <w:tcPr>
            <w:tcW w:w="1450" w:type="dxa"/>
            <w:tcMar>
              <w:top w:w="0" w:type="dxa"/>
              <w:left w:w="36" w:type="dxa"/>
              <w:bottom w:w="0" w:type="dxa"/>
              <w:right w:w="36" w:type="dxa"/>
            </w:tcMar>
            <w:vAlign w:val="center"/>
          </w:tcPr>
          <w:p w14:paraId="63DC91C9" w14:textId="77777777" w:rsidR="004F01D1" w:rsidRDefault="00000000">
            <w:pPr>
              <w:spacing w:before="20" w:after="20"/>
              <w:ind w:firstLine="0"/>
              <w:jc w:val="center"/>
            </w:pPr>
            <w:r>
              <w:rPr>
                <w:rFonts w:ascii="Times New Roman" w:hAnsi="Times New Roman"/>
                <w:sz w:val="13"/>
                <w:szCs w:val="14"/>
                <w:lang w:eastAsia="en-US"/>
              </w:rPr>
              <w:t>0.647 (0.643–0.651)</w:t>
            </w:r>
          </w:p>
        </w:tc>
        <w:tc>
          <w:tcPr>
            <w:tcW w:w="650" w:type="dxa"/>
            <w:tcMar>
              <w:top w:w="0" w:type="dxa"/>
              <w:left w:w="36" w:type="dxa"/>
              <w:bottom w:w="0" w:type="dxa"/>
              <w:right w:w="36" w:type="dxa"/>
            </w:tcMar>
            <w:vAlign w:val="center"/>
          </w:tcPr>
          <w:p w14:paraId="1FD1A855" w14:textId="77777777" w:rsidR="004F01D1" w:rsidRDefault="00000000">
            <w:pPr>
              <w:spacing w:before="20" w:after="20"/>
              <w:ind w:firstLine="0"/>
              <w:jc w:val="center"/>
            </w:pPr>
            <w:r>
              <w:rPr>
                <w:rFonts w:ascii="Times New Roman" w:hAnsi="Times New Roman"/>
                <w:sz w:val="13"/>
                <w:szCs w:val="14"/>
                <w:lang w:eastAsia="en-US"/>
              </w:rPr>
              <w:t>0.099</w:t>
            </w:r>
          </w:p>
        </w:tc>
        <w:tc>
          <w:tcPr>
            <w:tcW w:w="650" w:type="dxa"/>
            <w:tcMar>
              <w:top w:w="0" w:type="dxa"/>
              <w:left w:w="36" w:type="dxa"/>
              <w:bottom w:w="0" w:type="dxa"/>
              <w:right w:w="36" w:type="dxa"/>
            </w:tcMar>
            <w:vAlign w:val="center"/>
          </w:tcPr>
          <w:p w14:paraId="49339653" w14:textId="77777777" w:rsidR="004F01D1" w:rsidRDefault="00000000">
            <w:pPr>
              <w:spacing w:before="20" w:after="20"/>
              <w:ind w:firstLine="0"/>
              <w:jc w:val="center"/>
            </w:pPr>
            <w:r>
              <w:rPr>
                <w:rFonts w:ascii="Times New Roman" w:hAnsi="Times New Roman"/>
                <w:sz w:val="13"/>
                <w:szCs w:val="14"/>
                <w:lang w:eastAsia="en-US"/>
              </w:rPr>
              <w:t>0.594</w:t>
            </w:r>
          </w:p>
        </w:tc>
      </w:tr>
      <w:tr w:rsidR="004F01D1" w14:paraId="72D3D5B5" w14:textId="77777777" w:rsidTr="004F01D1">
        <w:tc>
          <w:tcPr>
            <w:tcW w:w="1550" w:type="dxa"/>
            <w:tcMar>
              <w:top w:w="0" w:type="dxa"/>
              <w:left w:w="36" w:type="dxa"/>
              <w:bottom w:w="0" w:type="dxa"/>
              <w:right w:w="36" w:type="dxa"/>
            </w:tcMar>
            <w:vAlign w:val="center"/>
          </w:tcPr>
          <w:p w14:paraId="34F6B197" w14:textId="77777777" w:rsidR="004F01D1" w:rsidRDefault="00000000">
            <w:pPr>
              <w:spacing w:before="20" w:after="20"/>
              <w:ind w:firstLine="0"/>
              <w:jc w:val="left"/>
            </w:pPr>
            <w:r>
              <w:rPr>
                <w:rFonts w:ascii="Times New Roman" w:hAnsi="Times New Roman"/>
                <w:sz w:val="13"/>
                <w:szCs w:val="14"/>
                <w:lang w:eastAsia="en-US"/>
              </w:rPr>
              <w:t>CatBoost</w:t>
            </w:r>
          </w:p>
        </w:tc>
        <w:tc>
          <w:tcPr>
            <w:tcW w:w="1450" w:type="dxa"/>
            <w:tcMar>
              <w:top w:w="0" w:type="dxa"/>
              <w:left w:w="36" w:type="dxa"/>
              <w:bottom w:w="0" w:type="dxa"/>
              <w:right w:w="36" w:type="dxa"/>
            </w:tcMar>
            <w:vAlign w:val="center"/>
          </w:tcPr>
          <w:p w14:paraId="7707BFD3" w14:textId="77777777" w:rsidR="004F01D1" w:rsidRDefault="00000000">
            <w:pPr>
              <w:spacing w:before="20" w:after="20"/>
              <w:ind w:firstLine="0"/>
              <w:jc w:val="center"/>
            </w:pPr>
            <w:r>
              <w:rPr>
                <w:rFonts w:ascii="Times New Roman" w:hAnsi="Times New Roman"/>
                <w:sz w:val="13"/>
                <w:szCs w:val="14"/>
                <w:lang w:eastAsia="en-US"/>
              </w:rPr>
              <w:t>0.690 (0.687–0.694)</w:t>
            </w:r>
          </w:p>
        </w:tc>
        <w:tc>
          <w:tcPr>
            <w:tcW w:w="650" w:type="dxa"/>
            <w:tcMar>
              <w:top w:w="0" w:type="dxa"/>
              <w:left w:w="36" w:type="dxa"/>
              <w:bottom w:w="0" w:type="dxa"/>
              <w:right w:w="36" w:type="dxa"/>
            </w:tcMar>
            <w:vAlign w:val="center"/>
          </w:tcPr>
          <w:p w14:paraId="7F56F6E9" w14:textId="77777777" w:rsidR="004F01D1" w:rsidRDefault="00000000">
            <w:pPr>
              <w:spacing w:before="20" w:after="20"/>
              <w:ind w:firstLine="0"/>
              <w:jc w:val="center"/>
            </w:pPr>
            <w:r>
              <w:rPr>
                <w:rFonts w:ascii="Times New Roman" w:hAnsi="Times New Roman"/>
                <w:sz w:val="13"/>
                <w:szCs w:val="14"/>
                <w:lang w:eastAsia="en-US"/>
              </w:rPr>
              <w:t>0.160</w:t>
            </w:r>
          </w:p>
        </w:tc>
        <w:tc>
          <w:tcPr>
            <w:tcW w:w="650" w:type="dxa"/>
            <w:tcMar>
              <w:top w:w="0" w:type="dxa"/>
              <w:left w:w="36" w:type="dxa"/>
              <w:bottom w:w="0" w:type="dxa"/>
              <w:right w:w="36" w:type="dxa"/>
            </w:tcMar>
            <w:vAlign w:val="center"/>
          </w:tcPr>
          <w:p w14:paraId="464B5330" w14:textId="77777777" w:rsidR="004F01D1" w:rsidRDefault="00000000">
            <w:pPr>
              <w:spacing w:before="20" w:after="20"/>
              <w:ind w:firstLine="0"/>
              <w:jc w:val="center"/>
            </w:pPr>
            <w:r>
              <w:rPr>
                <w:rFonts w:ascii="Times New Roman" w:hAnsi="Times New Roman"/>
                <w:sz w:val="13"/>
                <w:szCs w:val="14"/>
                <w:lang w:eastAsia="en-US"/>
              </w:rPr>
              <w:t>0.303</w:t>
            </w:r>
          </w:p>
        </w:tc>
      </w:tr>
      <w:tr w:rsidR="004F01D1" w14:paraId="5DD873FA" w14:textId="77777777" w:rsidTr="004F01D1">
        <w:tc>
          <w:tcPr>
            <w:tcW w:w="1550" w:type="dxa"/>
            <w:vAlign w:val="center"/>
            <w:tcMar>
              <w:top w:w="0" w:type="dxa"/>
              <w:left w:w="36" w:type="dxa"/>
              <w:bottom w:w="0" w:type="dxa"/>
              <w:right w:w="36" w:type="dxa"/>
            </w:tcMar>
          </w:tcPr>
          <w:p>
            <w:pPr>
              <w:jc w:val="left"/>
            </w:pPr>
            <w:r>
              <w:rPr>
                <w:rFonts w:ascii="Times New Roman" w:hAnsi="Times New Roman"/>
                <w:b w:val="0"/>
                <w:sz w:val="13"/>
              </w:rPr>
              <w:t>HistGradient Boosting</w:t>
            </w:r>
          </w:p>
        </w:tc>
        <w:tc>
          <w:tcPr>
            <w:tcW w:w="1450" w:type="dxa"/>
            <w:tcMar>
              <w:top w:w="0" w:type="dxa"/>
              <w:left w:w="36" w:type="dxa"/>
              <w:bottom w:w="0" w:type="dxa"/>
              <w:right w:w="36" w:type="dxa"/>
            </w:tcMar>
            <w:vAlign w:val="center"/>
          </w:tcPr>
          <w:p w14:paraId="64CCAA81" w14:textId="77777777" w:rsidR="004F01D1" w:rsidRDefault="00000000">
            <w:pPr>
              <w:spacing w:before="20" w:after="20"/>
              <w:ind w:firstLine="0"/>
              <w:jc w:val="center"/>
            </w:pPr>
            <w:r>
              <w:rPr>
                <w:rFonts w:ascii="Times New Roman" w:hAnsi="Times New Roman"/>
                <w:sz w:val="13"/>
                <w:szCs w:val="14"/>
                <w:lang w:eastAsia="en-US"/>
              </w:rPr>
              <w:t>0.692 (0.689–0.696)</w:t>
            </w:r>
          </w:p>
        </w:tc>
        <w:tc>
          <w:tcPr>
            <w:tcW w:w="650" w:type="dxa"/>
            <w:tcMar>
              <w:top w:w="0" w:type="dxa"/>
              <w:left w:w="36" w:type="dxa"/>
              <w:bottom w:w="0" w:type="dxa"/>
              <w:right w:w="36" w:type="dxa"/>
            </w:tcMar>
            <w:vAlign w:val="center"/>
          </w:tcPr>
          <w:p w14:paraId="1AB60D67" w14:textId="77777777" w:rsidR="004F01D1" w:rsidRDefault="00000000">
            <w:pPr>
              <w:spacing w:before="20" w:after="20"/>
              <w:ind w:firstLine="0"/>
              <w:jc w:val="center"/>
            </w:pPr>
            <w:r>
              <w:rPr>
                <w:rFonts w:ascii="Times New Roman" w:hAnsi="Times New Roman"/>
                <w:sz w:val="13"/>
                <w:szCs w:val="14"/>
                <w:lang w:eastAsia="en-US"/>
              </w:rPr>
              <w:t>0.163</w:t>
            </w:r>
          </w:p>
        </w:tc>
        <w:tc>
          <w:tcPr>
            <w:tcW w:w="650" w:type="dxa"/>
            <w:tcMar>
              <w:top w:w="0" w:type="dxa"/>
              <w:left w:w="36" w:type="dxa"/>
              <w:bottom w:w="0" w:type="dxa"/>
              <w:right w:w="36" w:type="dxa"/>
            </w:tcMar>
            <w:vAlign w:val="center"/>
          </w:tcPr>
          <w:p w14:paraId="552CE988" w14:textId="77777777" w:rsidR="004F01D1" w:rsidRDefault="00000000">
            <w:pPr>
              <w:spacing w:before="20" w:after="20"/>
              <w:ind w:firstLine="0"/>
              <w:jc w:val="center"/>
            </w:pPr>
            <w:r>
              <w:rPr>
                <w:rFonts w:ascii="Times New Roman" w:hAnsi="Times New Roman"/>
                <w:sz w:val="13"/>
                <w:szCs w:val="14"/>
                <w:lang w:eastAsia="en-US"/>
              </w:rPr>
              <w:t>0.325</w:t>
            </w:r>
          </w:p>
        </w:tc>
      </w:tr>
      <w:tr w:rsidR="004F01D1" w14:paraId="023D21E2" w14:textId="77777777" w:rsidTr="004F01D1">
        <w:tc>
          <w:tcPr>
            <w:tcW w:w="1550" w:type="dxa"/>
            <w:tcMar>
              <w:top w:w="0" w:type="dxa"/>
              <w:left w:w="36" w:type="dxa"/>
              <w:bottom w:w="0" w:type="dxa"/>
              <w:right w:w="36" w:type="dxa"/>
            </w:tcMar>
            <w:vAlign w:val="center"/>
          </w:tcPr>
          <w:p w14:paraId="53E614D0"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Extra Trees</w:t>
            </w:r>
          </w:p>
        </w:tc>
        <w:tc>
          <w:tcPr>
            <w:tcW w:w="1450" w:type="dxa"/>
            <w:tcMar>
              <w:top w:w="0" w:type="dxa"/>
              <w:left w:w="36" w:type="dxa"/>
              <w:bottom w:w="0" w:type="dxa"/>
              <w:right w:w="36" w:type="dxa"/>
            </w:tcMar>
            <w:vAlign w:val="center"/>
          </w:tcPr>
          <w:p w14:paraId="3CB944FB"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0.660 (0.656–0.663)</w:t>
            </w:r>
          </w:p>
        </w:tc>
        <w:tc>
          <w:tcPr>
            <w:tcW w:w="650" w:type="dxa"/>
            <w:tcMar>
              <w:top w:w="0" w:type="dxa"/>
              <w:left w:w="36" w:type="dxa"/>
              <w:bottom w:w="0" w:type="dxa"/>
              <w:right w:w="36" w:type="dxa"/>
            </w:tcMar>
            <w:vAlign w:val="center"/>
          </w:tcPr>
          <w:p w14:paraId="2A982DB9"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0.109</w:t>
            </w:r>
          </w:p>
        </w:tc>
        <w:tc>
          <w:tcPr>
            <w:tcW w:w="650" w:type="dxa"/>
            <w:tcMar>
              <w:top w:w="0" w:type="dxa"/>
              <w:left w:w="36" w:type="dxa"/>
              <w:bottom w:w="0" w:type="dxa"/>
              <w:right w:w="36" w:type="dxa"/>
            </w:tcMar>
            <w:vAlign w:val="center"/>
          </w:tcPr>
          <w:p w14:paraId="2B1ED233"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0.477</w:t>
            </w:r>
          </w:p>
        </w:tc>
      </w:tr>
      <w:tr w:rsidR="004F01D1" w14:paraId="4030D2EC" w14:textId="77777777" w:rsidTr="004F01D1">
        <w:tc>
          <w:tcPr>
            <w:tcW w:w="1550" w:type="dxa"/>
            <w:tcMar>
              <w:top w:w="0" w:type="dxa"/>
              <w:left w:w="36" w:type="dxa"/>
              <w:bottom w:w="0" w:type="dxa"/>
              <w:right w:w="36" w:type="dxa"/>
            </w:tcMar>
            <w:vAlign w:val="center"/>
          </w:tcPr>
          <w:p w14:paraId="7E499A30" w14:textId="77777777" w:rsidR="004F01D1" w:rsidRDefault="00000000">
            <w:pPr>
              <w:spacing w:before="20" w:after="20"/>
              <w:ind w:firstLine="0"/>
              <w:jc w:val="left"/>
              <w:rPr>
                <w:sz w:val="14"/>
                <w:szCs w:val="14"/>
                <w:lang w:eastAsia="en-US"/>
              </w:rPr>
            </w:pPr>
            <w:r>
              <w:rPr>
                <w:rFonts w:ascii="Times New Roman" w:hAnsi="Times New Roman"/>
                <w:sz w:val="13"/>
                <w:szCs w:val="14"/>
                <w:lang w:eastAsia="en-US"/>
              </w:rPr>
              <w:t>Balanced Random Forest</w:t>
            </w:r>
          </w:p>
        </w:tc>
        <w:tc>
          <w:tcPr>
            <w:tcW w:w="1450" w:type="dxa"/>
            <w:tcMar>
              <w:top w:w="0" w:type="dxa"/>
              <w:left w:w="36" w:type="dxa"/>
              <w:bottom w:w="0" w:type="dxa"/>
              <w:right w:w="36" w:type="dxa"/>
            </w:tcMar>
            <w:vAlign w:val="center"/>
          </w:tcPr>
          <w:p w14:paraId="68AD2164"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0.686 (0.683–0.690)</w:t>
            </w:r>
          </w:p>
        </w:tc>
        <w:tc>
          <w:tcPr>
            <w:tcW w:w="650" w:type="dxa"/>
            <w:tcMar>
              <w:top w:w="0" w:type="dxa"/>
              <w:left w:w="36" w:type="dxa"/>
              <w:bottom w:w="0" w:type="dxa"/>
              <w:right w:w="36" w:type="dxa"/>
            </w:tcMar>
            <w:vAlign w:val="center"/>
          </w:tcPr>
          <w:p w14:paraId="54E6F722"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0.144</w:t>
            </w:r>
          </w:p>
        </w:tc>
        <w:tc>
          <w:tcPr>
            <w:tcW w:w="650" w:type="dxa"/>
            <w:tcMar>
              <w:top w:w="0" w:type="dxa"/>
              <w:left w:w="36" w:type="dxa"/>
              <w:bottom w:w="0" w:type="dxa"/>
              <w:right w:w="36" w:type="dxa"/>
            </w:tcMar>
            <w:vAlign w:val="center"/>
          </w:tcPr>
          <w:p w14:paraId="3BA3AC38" w14:textId="77777777" w:rsidR="004F01D1" w:rsidRDefault="00000000">
            <w:pPr>
              <w:spacing w:before="20" w:after="20"/>
              <w:ind w:firstLine="0"/>
              <w:jc w:val="center"/>
              <w:rPr>
                <w:sz w:val="14"/>
                <w:szCs w:val="14"/>
                <w:lang w:eastAsia="en-US"/>
              </w:rPr>
            </w:pPr>
            <w:r>
              <w:rPr>
                <w:rFonts w:ascii="Times New Roman" w:hAnsi="Times New Roman"/>
                <w:sz w:val="13"/>
                <w:szCs w:val="14"/>
                <w:lang w:eastAsia="en-US"/>
              </w:rPr>
              <w:t>0.318</w:t>
            </w:r>
          </w:p>
        </w:tc>
      </w:tr>
    </w:tbl>
    <w:p w14:paraId="2C187AE8" w14:textId="77777777" w:rsidR="004F01D1" w:rsidRDefault="004F01D1">
      <w:pPr>
        <w:rPr>
          <w:lang w:eastAsia="en-US"/>
        </w:rPr>
      </w:pPr>
    </w:p>
    <w:p w14:paraId="422FE196" w14:textId="77777777" w:rsidR="004F01D1" w:rsidRDefault="00000000">
      <w:pPr>
        <w:rPr>
          <w:lang w:eastAsia="en-US"/>
        </w:rPr>
      </w:pPr>
      <w:r>
        <w:rPr>
          <w:lang w:eastAsia="en-US"/>
        </w:rPr>
        <w:t>The ROC curves overlapped substantially. HistGradientBoosting and CatBoost showed a small descriptive advantage on the 2025 records, but the absolute ROC-AUC difference between them was 0.0021. With this sample size, statistical significance should not be confused with a clinically meaningful improvement.</w:t>
      </w:r>
    </w:p>
    <w:p w14:paraId="41EE0006" w14:textId="77777777" w:rsidR="004F01D1" w:rsidRDefault="004F01D1">
      <w:pPr>
        <w:rPr>
          <w:lang w:eastAsia="en-US"/>
        </w:rPr>
      </w:pPr>
    </w:p>
    <w:p w14:paraId="6283B96C" w14:textId="77777777" w:rsidR="004F01D1" w:rsidRDefault="00000000">
      <w:pPr>
        <w:ind w:firstLine="993"/>
        <w:rPr>
          <w:lang w:eastAsia="en-US"/>
        </w:rPr>
      </w:pPr>
      <w:r>
        <w:rPr>
          <w:noProof/>
        </w:rPr>
        <w:drawing>
          <wp:inline distT="0" distB="0" distL="0" distR="0" wp14:anchorId="36806DD3" wp14:editId="78020799">
            <wp:extent cx="1983105" cy="1382395"/>
            <wp:effectExtent l="0" t="0" r="0" b="0"/>
            <wp:docPr id="6" name="Imagen7" descr="ROC curves for the eight evaluated classifiers" title="ROC curves for the eight evaluated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21"/>
                    <a:stretch>
                      <a:fillRect/>
                    </a:stretch>
                  </pic:blipFill>
                  <pic:spPr bwMode="auto">
                    <a:xfrm>
                      <a:off x="0" y="0"/>
                      <a:ext cx="1983105" cy="1382395"/>
                    </a:xfrm>
                    <a:prstGeom prst="rect">
                      <a:avLst/>
                    </a:prstGeom>
                    <a:noFill/>
                  </pic:spPr>
                </pic:pic>
              </a:graphicData>
            </a:graphic>
          </wp:inline>
        </w:drawing>
      </w:r>
    </w:p>
    <w:p w14:paraId="726D5CDE" w14:textId="77777777" w:rsidR="004F01D1" w:rsidRDefault="00000000">
      <w:pPr>
        <w:pStyle w:val="FigureCaption"/>
      </w:pPr>
      <w:r>
        <w:t>Figure 4. ROC curves of the evaluated classifiers.</w:t>
      </w:r>
    </w:p>
    <w:p w14:paraId="68909B6B" w14:textId="77777777" w:rsidR="004F01D1" w:rsidRDefault="00000000">
      <w:pPr>
        <w:rPr>
          <w:lang w:eastAsia="en-US"/>
        </w:rPr>
      </w:pPr>
      <w:r>
        <w:rPr>
          <w:lang w:eastAsia="en-US"/>
        </w:rPr>
        <w:t xml:space="preserve">Fig. 5 presents the precision–recall curves, providing a more specific assessment of performance on the minority class corresponding to low birth weight cases. Unlike the ROC curves, the differences among models are more evident at lower recall levels, where HistGradientBoosting and CatBoost maintain higher precision. However, as recall increases, all curves progressively converge toward the baseline, reflecting </w:t>
      </w:r>
      <w:r>
        <w:rPr>
          <w:lang w:eastAsia="en-US"/>
        </w:rPr>
        <w:t>the decline in precision inherent to a class-imbalanced problem and highlighting the usefulness of PR-AUC as a complementary metric for comparing classifier performance in this setting.</w:t>
      </w:r>
    </w:p>
    <w:p w14:paraId="0EA751EF" w14:textId="77777777" w:rsidR="004F01D1" w:rsidRDefault="004F01D1">
      <w:pPr>
        <w:rPr>
          <w:lang w:eastAsia="en-US"/>
        </w:rPr>
      </w:pPr>
    </w:p>
    <w:p w14:paraId="43FEED2E" w14:textId="77777777" w:rsidR="004F01D1" w:rsidRDefault="00000000">
      <w:pPr>
        <w:ind w:firstLine="993"/>
        <w:rPr>
          <w:lang w:eastAsia="en-US"/>
        </w:rPr>
      </w:pPr>
      <w:r>
        <w:rPr>
          <w:noProof/>
        </w:rPr>
        <w:drawing>
          <wp:inline distT="0" distB="0" distL="0" distR="0" wp14:anchorId="00EA7185" wp14:editId="3D11B563">
            <wp:extent cx="2014855" cy="1404620"/>
            <wp:effectExtent l="0" t="0" r="0" b="0"/>
            <wp:docPr id="7" name="Imagen8" descr="Precision-recall curves for the eight evaluated classifiers" title="Precision-recall curves for the eight evaluated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22"/>
                    <a:stretch>
                      <a:fillRect/>
                    </a:stretch>
                  </pic:blipFill>
                  <pic:spPr bwMode="auto">
                    <a:xfrm>
                      <a:off x="0" y="0"/>
                      <a:ext cx="2014855" cy="1404620"/>
                    </a:xfrm>
                    <a:prstGeom prst="rect">
                      <a:avLst/>
                    </a:prstGeom>
                    <a:noFill/>
                  </pic:spPr>
                </pic:pic>
              </a:graphicData>
            </a:graphic>
          </wp:inline>
        </w:drawing>
      </w:r>
    </w:p>
    <w:p w14:paraId="25DDCFC2" w14:textId="77777777" w:rsidR="004F01D1" w:rsidRDefault="00000000">
      <w:pPr>
        <w:pStyle w:val="FigureCaption"/>
      </w:pPr>
      <w:r>
        <w:t>Figure 5. Precision–recall curves of the evaluated classifiers.</w:t>
      </w:r>
    </w:p>
    <w:p w14:paraId="49781B58" w14:textId="77777777" w:rsidR="004F01D1" w:rsidRDefault="00000000">
      <w:pPr>
        <w:pStyle w:val="Ttulo2"/>
        <w:rPr>
          <w:lang w:eastAsia="en-US"/>
        </w:rPr>
      </w:pPr>
      <w:r>
        <w:rPr>
          <w:lang w:eastAsia="en-US"/>
        </w:rPr>
        <w:t>B. Performance on the 2025 Temporal Holdout</w:t>
      </w:r>
    </w:p>
    <w:p w14:paraId="1FBDDEF4" w14:textId="77777777" w:rsidR="004F01D1" w:rsidRDefault="00000000">
      <w:pPr>
        <w:rPr>
          <w:lang w:eastAsia="en-US"/>
        </w:rPr>
      </w:pPr>
      <w:r>
        <w:rPr>
          <w:lang w:eastAsia="en-US"/>
        </w:rPr>
        <w:t>The 2025 temporal holdout contained 345,020 records, including 22,182 LBW cases (6.43%). Table V reports the HistGradientBoosting confusion matrix at the threshold selected on these same records.</w:t>
      </w:r>
    </w:p>
    <w:p w14:paraId="521F0444" w14:textId="77777777" w:rsidR="004F01D1" w:rsidRDefault="00000000">
      <w:pPr>
        <w:pStyle w:val="TableCaption"/>
      </w:pPr>
      <w:r>
        <w:t>Table V. HistGradientBoosting Confusion Matrix at the Post Hoc F1 Threshold</w:t>
      </w:r>
    </w:p>
    <w:tbl>
      <w:tblPr>
        <w:tblStyle w:val="Estilo1"/>
        <w:jc w:val="center"/>
        <w:tblLook w:val="04A0" w:firstRow="1" w:lastRow="0" w:firstColumn="1" w:lastColumn="0" w:noHBand="0" w:noVBand="1"/>
        <w:tblW w:w="4300" w:type="dxa"/>
        <w:tblInd w:w="0" w:type="dxa"/>
        <w:tblLayout w:type="fixed"/>
      </w:tblPr>
      <w:tblGrid>
        <w:gridCol w:w="1300"/>
        <w:gridCol w:w="1000"/>
        <w:gridCol w:w="1100"/>
        <w:gridCol w:w="900"/>
      </w:tblGrid>
      <w:tr w:rsidR="004F01D1" w14:paraId="09B5F121" w14:textId="77777777" w:rsidTr="004F01D1">
        <w:trPr>
          <w:cnfStyle w:val="100000000000" w:firstRow="1" w:lastRow="0" w:firstColumn="0" w:lastColumn="0" w:oddVBand="0" w:evenVBand="0" w:oddHBand="0" w:evenHBand="0" w:firstRowFirstColumn="0" w:firstRowLastColumn="0" w:lastRowFirstColumn="0" w:lastRowLastColumn="0"/>
          <w:jc w:val="center"/>
          <w:tblHeader/>
        </w:trPr>
        <w:tc>
          <w:tcPr>
            <w:tcW w:w="1300" w:type="dxa"/>
            <w:tcBorders>
              <w:bottom w:val="single" w:sz="4" w:space="0" w:color="000000"/>
            </w:tcBorders>
            <w:vAlign w:val="center"/>
            <w:tcMar>
              <w:top w:w="0" w:type="dxa"/>
              <w:left w:w="36" w:type="dxa"/>
              <w:bottom w:w="0" w:type="dxa"/>
              <w:right w:w="36" w:type="dxa"/>
            </w:tcMar>
          </w:tcPr>
          <w:p>
            <w:pPr>
              <w:jc w:val="left"/>
            </w:pPr>
            <w:r>
              <w:rPr>
                <w:rFonts w:ascii="Times New Roman" w:hAnsi="Times New Roman"/>
                <w:b/>
                <w:sz w:val="13"/>
              </w:rPr>
              <w:t>Prediction</w:t>
            </w:r>
          </w:p>
        </w:tc>
        <w:tc>
          <w:tcPr>
            <w:tcW w:w="10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LBW</w:t>
            </w:r>
          </w:p>
        </w:tc>
        <w:tc>
          <w:tcPr>
            <w:tcW w:w="11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Non-LBW</w:t>
            </w:r>
          </w:p>
        </w:tc>
        <w:tc>
          <w:tcPr>
            <w:tcW w:w="9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Total</w:t>
            </w:r>
          </w:p>
        </w:tc>
      </w:tr>
      <w:tr w:rsidR="004F01D1" w14:paraId="485C2249" w14:textId="77777777" w:rsidTr="004F01D1">
        <w:trPr>
          <w:jc w:val="center"/>
        </w:trPr>
        <w:tc>
          <w:tcPr>
            <w:tcW w:w="1300" w:type="dxa"/>
            <w:vAlign w:val="center"/>
            <w:tcMar>
              <w:top w:w="0" w:type="dxa"/>
              <w:left w:w="36" w:type="dxa"/>
              <w:bottom w:w="0" w:type="dxa"/>
              <w:right w:w="36" w:type="dxa"/>
            </w:tcMar>
          </w:tcPr>
          <w:p>
            <w:pPr>
              <w:jc w:val="left"/>
            </w:pPr>
            <w:r>
              <w:rPr>
                <w:rFonts w:ascii="Times New Roman" w:hAnsi="Times New Roman"/>
                <w:b w:val="0"/>
                <w:sz w:val="13"/>
              </w:rPr>
              <w:t>Positive</w:t>
            </w:r>
          </w:p>
        </w:tc>
        <w:tc>
          <w:tcPr>
            <w:tcW w:w="1000" w:type="dxa"/>
            <w:vAlign w:val="center"/>
            <w:tcMar>
              <w:top w:w="0" w:type="dxa"/>
              <w:left w:w="36" w:type="dxa"/>
              <w:bottom w:w="0" w:type="dxa"/>
              <w:right w:w="36" w:type="dxa"/>
            </w:tcMar>
          </w:tcPr>
          <w:p>
            <w:pPr>
              <w:jc w:val="center"/>
            </w:pPr>
            <w:r>
              <w:rPr>
                <w:rFonts w:ascii="Times New Roman" w:hAnsi="Times New Roman"/>
                <w:b w:val="0"/>
                <w:sz w:val="13"/>
              </w:rPr>
              <w:t>7,197</w:t>
            </w:r>
          </w:p>
        </w:tc>
        <w:tc>
          <w:tcPr>
            <w:tcW w:w="1100" w:type="dxa"/>
            <w:vAlign w:val="center"/>
            <w:tcMar>
              <w:top w:w="0" w:type="dxa"/>
              <w:left w:w="36" w:type="dxa"/>
              <w:bottom w:w="0" w:type="dxa"/>
              <w:right w:w="36" w:type="dxa"/>
            </w:tcMar>
          </w:tcPr>
          <w:p>
            <w:pPr>
              <w:jc w:val="center"/>
            </w:pPr>
            <w:r>
              <w:rPr>
                <w:rFonts w:ascii="Times New Roman" w:hAnsi="Times New Roman"/>
                <w:b w:val="0"/>
                <w:sz w:val="13"/>
              </w:rPr>
              <w:t>40,746</w:t>
            </w:r>
          </w:p>
        </w:tc>
        <w:tc>
          <w:tcPr>
            <w:tcW w:w="900" w:type="dxa"/>
            <w:vAlign w:val="center"/>
            <w:tcMar>
              <w:top w:w="0" w:type="dxa"/>
              <w:left w:w="36" w:type="dxa"/>
              <w:bottom w:w="0" w:type="dxa"/>
              <w:right w:w="36" w:type="dxa"/>
            </w:tcMar>
          </w:tcPr>
          <w:p>
            <w:pPr>
              <w:jc w:val="center"/>
            </w:pPr>
            <w:r>
              <w:rPr>
                <w:rFonts w:ascii="Times New Roman" w:hAnsi="Times New Roman"/>
                <w:b w:val="0"/>
                <w:sz w:val="13"/>
              </w:rPr>
              <w:t>47,943</w:t>
            </w:r>
          </w:p>
        </w:tc>
      </w:tr>
      <w:tr w:rsidR="004F01D1" w14:paraId="77777B9A" w14:textId="77777777" w:rsidTr="004F01D1">
        <w:trPr>
          <w:jc w:val="center"/>
        </w:trPr>
        <w:tc>
          <w:tcPr>
            <w:tcW w:w="1300" w:type="dxa"/>
            <w:vAlign w:val="center"/>
            <w:tcMar>
              <w:top w:w="0" w:type="dxa"/>
              <w:left w:w="36" w:type="dxa"/>
              <w:bottom w:w="0" w:type="dxa"/>
              <w:right w:w="36" w:type="dxa"/>
            </w:tcMar>
          </w:tcPr>
          <w:p>
            <w:pPr>
              <w:jc w:val="left"/>
            </w:pPr>
            <w:r>
              <w:rPr>
                <w:rFonts w:ascii="Times New Roman" w:hAnsi="Times New Roman"/>
                <w:b w:val="0"/>
                <w:sz w:val="13"/>
              </w:rPr>
              <w:t>Negative</w:t>
            </w:r>
          </w:p>
        </w:tc>
        <w:tc>
          <w:tcPr>
            <w:tcW w:w="1000" w:type="dxa"/>
            <w:vAlign w:val="center"/>
            <w:tcMar>
              <w:top w:w="0" w:type="dxa"/>
              <w:left w:w="36" w:type="dxa"/>
              <w:bottom w:w="0" w:type="dxa"/>
              <w:right w:w="36" w:type="dxa"/>
            </w:tcMar>
          </w:tcPr>
          <w:p>
            <w:pPr>
              <w:jc w:val="center"/>
            </w:pPr>
            <w:r>
              <w:rPr>
                <w:rFonts w:ascii="Times New Roman" w:hAnsi="Times New Roman"/>
                <w:b w:val="0"/>
                <w:sz w:val="13"/>
              </w:rPr>
              <w:t>14,985</w:t>
            </w:r>
          </w:p>
        </w:tc>
        <w:tc>
          <w:tcPr>
            <w:tcW w:w="1100" w:type="dxa"/>
            <w:vAlign w:val="center"/>
            <w:tcMar>
              <w:top w:w="0" w:type="dxa"/>
              <w:left w:w="36" w:type="dxa"/>
              <w:bottom w:w="0" w:type="dxa"/>
              <w:right w:w="36" w:type="dxa"/>
            </w:tcMar>
          </w:tcPr>
          <w:p>
            <w:pPr>
              <w:jc w:val="center"/>
            </w:pPr>
            <w:r>
              <w:rPr>
                <w:rFonts w:ascii="Times New Roman" w:hAnsi="Times New Roman"/>
                <w:b w:val="0"/>
                <w:sz w:val="13"/>
              </w:rPr>
              <w:t>282,092</w:t>
            </w:r>
          </w:p>
        </w:tc>
        <w:tc>
          <w:tcPr>
            <w:tcW w:w="900" w:type="dxa"/>
            <w:vAlign w:val="center"/>
            <w:tcMar>
              <w:top w:w="0" w:type="dxa"/>
              <w:left w:w="36" w:type="dxa"/>
              <w:bottom w:w="0" w:type="dxa"/>
              <w:right w:w="36" w:type="dxa"/>
            </w:tcMar>
          </w:tcPr>
          <w:p>
            <w:pPr>
              <w:jc w:val="center"/>
            </w:pPr>
            <w:r>
              <w:rPr>
                <w:rFonts w:ascii="Times New Roman" w:hAnsi="Times New Roman"/>
                <w:b w:val="0"/>
                <w:sz w:val="13"/>
              </w:rPr>
              <w:t>297,077</w:t>
            </w:r>
          </w:p>
        </w:tc>
      </w:tr>
      <w:tr w:rsidR="004F01D1" w14:paraId="26A12471" w14:textId="77777777" w:rsidTr="004F01D1">
        <w:trPr>
          <w:jc w:val="center"/>
        </w:trPr>
        <w:tc>
          <w:tcPr>
            <w:tcW w:w="1300" w:type="dxa"/>
            <w:vAlign w:val="center"/>
            <w:tcMar>
              <w:top w:w="0" w:type="dxa"/>
              <w:left w:w="36" w:type="dxa"/>
              <w:bottom w:w="0" w:type="dxa"/>
              <w:right w:w="36" w:type="dxa"/>
            </w:tcMar>
          </w:tcPr>
          <w:p>
            <w:pPr>
              <w:jc w:val="left"/>
            </w:pPr>
            <w:r>
              <w:rPr>
                <w:rFonts w:ascii="Times New Roman" w:hAnsi="Times New Roman"/>
                <w:b w:val="0"/>
                <w:sz w:val="13"/>
              </w:rPr>
              <w:t>Total</w:t>
            </w:r>
          </w:p>
        </w:tc>
        <w:tc>
          <w:tcPr>
            <w:tcW w:w="1000" w:type="dxa"/>
            <w:vAlign w:val="center"/>
            <w:tcMar>
              <w:top w:w="0" w:type="dxa"/>
              <w:left w:w="36" w:type="dxa"/>
              <w:bottom w:w="0" w:type="dxa"/>
              <w:right w:w="36" w:type="dxa"/>
            </w:tcMar>
          </w:tcPr>
          <w:p>
            <w:pPr>
              <w:jc w:val="center"/>
            </w:pPr>
            <w:r>
              <w:rPr>
                <w:rFonts w:ascii="Times New Roman" w:hAnsi="Times New Roman"/>
                <w:b w:val="0"/>
                <w:sz w:val="13"/>
              </w:rPr>
              <w:t>22,182</w:t>
            </w:r>
          </w:p>
        </w:tc>
        <w:tc>
          <w:tcPr>
            <w:tcW w:w="1100" w:type="dxa"/>
            <w:vAlign w:val="center"/>
            <w:tcMar>
              <w:top w:w="0" w:type="dxa"/>
              <w:left w:w="36" w:type="dxa"/>
              <w:bottom w:w="0" w:type="dxa"/>
              <w:right w:w="36" w:type="dxa"/>
            </w:tcMar>
          </w:tcPr>
          <w:p>
            <w:pPr>
              <w:jc w:val="center"/>
            </w:pPr>
            <w:r>
              <w:rPr>
                <w:rFonts w:ascii="Times New Roman" w:hAnsi="Times New Roman"/>
                <w:b w:val="0"/>
                <w:sz w:val="13"/>
              </w:rPr>
              <w:t>322,838</w:t>
            </w:r>
          </w:p>
        </w:tc>
        <w:tc>
          <w:tcPr>
            <w:tcW w:w="900" w:type="dxa"/>
            <w:vAlign w:val="center"/>
            <w:tcMar>
              <w:top w:w="0" w:type="dxa"/>
              <w:left w:w="36" w:type="dxa"/>
              <w:bottom w:w="0" w:type="dxa"/>
              <w:right w:w="36" w:type="dxa"/>
            </w:tcMar>
          </w:tcPr>
          <w:p>
            <w:pPr>
              <w:jc w:val="center"/>
            </w:pPr>
            <w:r>
              <w:rPr>
                <w:rFonts w:ascii="Times New Roman" w:hAnsi="Times New Roman"/>
                <w:b w:val="0"/>
                <w:sz w:val="13"/>
              </w:rPr>
              <w:t>345,020</w:t>
            </w:r>
          </w:p>
        </w:tc>
      </w:tr>
    </w:tbl>
    <w:p w14:paraId="0EFFC537" w14:textId="77777777" w:rsidR="004F01D1" w:rsidRDefault="00000000">
      <w:pPr>
        <w:pStyle w:val="NotaTabla"/>
      </w:pPr>
      <w:r>
        <w:t>Note: LBW = low birth weight. The threshold of 0.626 maximized F1 on the same 2025 observations used to construct this confusion matrix; the estimates are therefore apparent, not independently validated operating characteristics.</w:t>
      </w:r>
    </w:p>
    <w:p w14:paraId="053D915F" w14:textId="77777777" w:rsidR="004F01D1" w:rsidRDefault="00000000">
      <w:r>
        <w:t>At a threshold of 0.626, recall was 32.45%, specificity 87.38%, and precision 15.01%. The model identified 7,197 of 22,182 LBW cases and missed 14,985 (67.56%). Of 47,943 positive classifications, 40,746 were false positives (84.99%). This operating point does not support individual clinical decision-making.</w:t>
      </w:r>
    </w:p>
    <w:p w14:paraId="25FE9A71" w14:textId="77777777" w:rsidR="004F01D1" w:rsidRDefault="00000000">
      <w:r>
        <w:t>The 2025 results demonstrate temporal transport of discrimination within the same national registry. They do not constitute external validation, and reuse of the holdout for model comparison and threshold selection prevents a confirmatory interpretation of threshold-dependent performance.</w:t>
      </w:r>
    </w:p>
    <w:p w14:paraId="3377ABFB" w14:textId="77777777" w:rsidR="004F01D1" w:rsidRDefault="00000000">
      <w:pPr>
        <w:pStyle w:val="Ttulo2"/>
        <w:rPr>
          <w:lang w:eastAsia="en-US"/>
        </w:rPr>
      </w:pPr>
      <w:r>
        <w:rPr>
          <w:lang w:eastAsia="en-US"/>
        </w:rPr>
        <w:t>C. Sample-Size Sensitivity</w:t>
      </w:r>
    </w:p>
    <w:p w14:paraId="110D883D" w14:textId="77777777" w:rsidR="004F01D1" w:rsidRDefault="00000000">
      <w:pPr>
        <w:rPr>
          <w:lang w:eastAsia="en-US"/>
        </w:rPr>
      </w:pPr>
      <w:r>
        <w:rPr>
          <w:lang w:eastAsia="en-US"/>
        </w:rPr>
        <w:t>Using the same 2025 holdout, ROC-AUC changed from 0.6915 to 0.6924 as the training fraction increased from 20% to 100%, while the training ROC-AUC changed from 0.6902 to 0.6893. This descriptive curve suggests little incremental gain from additional records under the current feature set.</w:t>
      </w:r>
    </w:p>
    <w:p w14:paraId="4F304DA6" w14:textId="77777777" w:rsidR="004F01D1" w:rsidRDefault="004F01D1">
      <w:pPr>
        <w:rPr>
          <w:lang w:eastAsia="en-US"/>
        </w:rPr>
      </w:pPr>
    </w:p>
    <w:p w14:paraId="0B1FA9B5" w14:textId="77777777" w:rsidR="004F01D1" w:rsidRDefault="00000000">
      <w:pPr>
        <w:ind w:firstLine="709"/>
        <w:rPr>
          <w:lang w:eastAsia="en-US"/>
        </w:rPr>
      </w:pPr>
      <w:r>
        <w:rPr>
          <w:noProof/>
        </w:rPr>
        <w:drawing>
          <wp:inline distT="0" distB="0" distL="0" distR="0" wp14:anchorId="6B686809" wp14:editId="1F6C1B1B">
            <wp:extent cx="2303780" cy="1605280"/>
            <wp:effectExtent l="0" t="0" r="0" b="0"/>
            <wp:docPr id="8" name="Imagen 5" descr="HistGradientBoosting training and 2025 holdout ROC-AUC across training fractions" title="HistGradientBoosting training and 2025 holdout ROC-AUC across training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noChangeArrowheads="1"/>
                    </pic:cNvPicPr>
                  </pic:nvPicPr>
                  <pic:blipFill>
                    <a:blip r:embed="rId23"/>
                    <a:stretch>
                      <a:fillRect/>
                    </a:stretch>
                  </pic:blipFill>
                  <pic:spPr bwMode="auto">
                    <a:xfrm>
                      <a:off x="0" y="0"/>
                      <a:ext cx="2303780" cy="1605280"/>
                    </a:xfrm>
                    <a:prstGeom prst="rect">
                      <a:avLst/>
                    </a:prstGeom>
                    <a:noFill/>
                  </pic:spPr>
                </pic:pic>
              </a:graphicData>
            </a:graphic>
          </wp:inline>
        </w:drawing>
      </w:r>
    </w:p>
    <w:p w14:paraId="58BE3468" w14:textId="77777777" w:rsidR="004F01D1" w:rsidRDefault="00000000">
      <w:pPr>
        <w:pStyle w:val="FigureCaption"/>
      </w:pPr>
      <w:r>
        <w:t>Figure 6. Sample-size sensitivity of HistGradientBoosting on the 2025 holdout.</w:t>
      </w:r>
    </w:p>
    <w:p w14:paraId="13ED67B4" w14:textId="77777777" w:rsidR="004F01D1" w:rsidRDefault="00000000">
      <w:pPr>
        <w:rPr>
          <w:lang w:eastAsia="en-US"/>
        </w:rPr>
      </w:pPr>
      <w:r>
        <w:rPr>
          <w:lang w:eastAsia="en-US"/>
        </w:rPr>
        <w:t>The close curves show no evident overfitting in this experiment, but they do not prove an immutable predictive ceiling: the same holdout was repeatedly evaluated, and performance could change with a clinically timed predictor set, improved data quality, or external populations.</w:t>
      </w:r>
    </w:p>
    <w:p w14:paraId="15B029C7" w14:textId="77777777" w:rsidR="004F01D1" w:rsidRDefault="00000000">
      <w:pPr>
        <w:rPr>
          <w:lang w:eastAsia="en-US"/>
        </w:rPr>
      </w:pPr>
      <w:r>
        <w:rPr>
          <w:lang w:eastAsia="en-US"/>
        </w:rPr>
        <w:t>Across the 50,000-record nested analyses, mean ROC-AUC ranged from 0.6564 to 0.6705. Leave-one-year-out ROC-AUC ranged from 0.6599 in 2015 to 0.6825 in 2024. These results indicate moderate temporal stability within the registry but should not be used to infer that more informative predictors would fail to improve performance.</w:t>
      </w:r>
    </w:p>
    <w:p w14:paraId="223F726A" w14:textId="77777777" w:rsidR="004F01D1" w:rsidRDefault="00000000">
      <w:pPr>
        <w:pStyle w:val="Ttulo2"/>
        <w:rPr>
          <w:lang w:eastAsia="en-US"/>
        </w:rPr>
      </w:pPr>
      <w:r>
        <w:rPr>
          <w:lang w:eastAsia="en-US"/>
        </w:rPr>
        <w:t>D. Decision Curve Analysis and Clinical Utility</w:t>
      </w:r>
    </w:p>
    <w:p w14:paraId="77150C0B" w14:textId="77777777" w:rsidR="004F01D1" w:rsidRDefault="00000000">
      <w:pPr>
        <w:rPr>
          <w:lang w:eastAsia="en-US"/>
        </w:rPr>
      </w:pPr>
      <w:r>
        <w:rPr>
          <w:lang w:eastAsia="en-US"/>
        </w:rPr>
        <w:t>The decision curves in Fig. 7 remain below the treat-none reference (net benefit = 0) across the displayed clinically relevant threshold range. Negative net benefit indicates that using these model outputs would produce more harm-weighted false positives than benefit from true positives under the assumptions of the analysis.</w:t>
      </w:r>
    </w:p>
    <w:p w14:paraId="7D7C0365" w14:textId="77777777" w:rsidR="004F01D1" w:rsidRDefault="00000000">
      <w:pPr>
        <w:rPr>
          <w:lang w:eastAsia="en-US"/>
        </w:rPr>
      </w:pPr>
      <w:r>
        <w:rPr>
          <w:lang w:eastAsia="en-US"/>
        </w:rPr>
        <w:t>Accordingly, the DCA does not support clinical utility for HistGradientBoosting, CatBoost, or the other evaluated classifiers in their current uncalibrated form. No favorable threshold range is claimed.</w:t>
      </w:r>
    </w:p>
    <w:p w14:paraId="199B2E35" w14:textId="77777777" w:rsidR="004F01D1" w:rsidRDefault="004F01D1">
      <w:pPr>
        <w:rPr>
          <w:b/>
          <w:bCs/>
          <w:lang w:eastAsia="en-US"/>
        </w:rPr>
      </w:pPr>
    </w:p>
    <w:p w14:paraId="71486C1C" w14:textId="77777777" w:rsidR="004F01D1" w:rsidRDefault="00000000">
      <w:pPr>
        <w:ind w:firstLine="851"/>
        <w:rPr>
          <w:b/>
          <w:bCs/>
          <w:lang w:eastAsia="en-US"/>
        </w:rPr>
      </w:pPr>
      <w:r>
        <w:rPr>
          <w:noProof/>
        </w:rPr>
        <w:drawing>
          <wp:inline distT="0" distB="0" distL="0" distR="0" wp14:anchorId="11589BC6" wp14:editId="0F5CC0EA">
            <wp:extent cx="2344420" cy="1633220"/>
            <wp:effectExtent l="0" t="0" r="0" b="0"/>
            <wp:docPr id="9" name="Imagen 6" descr="Decision curves showing negative net benefit for evaluated classifiers across the plotted threshold range" title="Decision curves showing negative net benefit for evaluated classifiers across the plotted threshol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
                    <pic:cNvPicPr>
                      <a:picLocks noChangeAspect="1" noChangeArrowheads="1"/>
                    </pic:cNvPicPr>
                  </pic:nvPicPr>
                  <pic:blipFill>
                    <a:blip r:embed="rId24"/>
                    <a:stretch>
                      <a:fillRect/>
                    </a:stretch>
                  </pic:blipFill>
                  <pic:spPr bwMode="auto">
                    <a:xfrm>
                      <a:off x="0" y="0"/>
                      <a:ext cx="2344420" cy="1633220"/>
                    </a:xfrm>
                    <a:prstGeom prst="rect">
                      <a:avLst/>
                    </a:prstGeom>
                    <a:noFill/>
                  </pic:spPr>
                </pic:pic>
              </a:graphicData>
            </a:graphic>
          </wp:inline>
        </w:drawing>
      </w:r>
    </w:p>
    <w:p w14:paraId="02686B9B" w14:textId="77777777" w:rsidR="004F01D1" w:rsidRDefault="00000000">
      <w:pPr>
        <w:pStyle w:val="FigureCaption"/>
      </w:pPr>
      <w:r>
        <w:t>Figure 7. Decision curves of the evaluated classifiers using uncalibrated probabilities.</w:t>
      </w:r>
    </w:p>
    <w:p w14:paraId="7AF4CF7A" w14:textId="77777777" w:rsidR="004F01D1" w:rsidRDefault="00000000">
      <w:pPr>
        <w:rPr>
          <w:lang w:eastAsia="en-US"/>
        </w:rPr>
      </w:pPr>
      <w:r>
        <w:rPr>
          <w:lang w:eastAsia="en-US"/>
        </w:rPr>
        <w:t>The previously explored cut points of 0.20, 0.40, and 0.60 were applied to markedly uncalibrated probabilities and evaluated on the same holdout used for model comparison. Those bands are therefore not reported as clinical risk strata. Risk categories must be derived from calibrated probabilities and validated in a separate external or prospective cohort.</w:t>
      </w:r>
    </w:p>
    <w:p w14:paraId="2587B676" w14:textId="77777777" w:rsidR="004F01D1" w:rsidRDefault="00000000">
      <w:pPr>
        <w:pStyle w:val="Ttulo2"/>
      </w:pPr>
      <w:r>
        <w:t>E. Interpretability</w:t>
      </w:r>
    </w:p>
    <w:p w14:paraId="626F8A3B" w14:textId="77777777" w:rsidR="004F01D1" w:rsidRDefault="00000000">
      <w:r>
        <w:t>Birth attendant was the leading feature in both SHAP and permutation analyses, followed by maternal pregnancy history; delivery funding source was also influential. Because birth attendant and funding source arise from the delivery context, their importance reinforces that the current model is a retrospective registry classifier and cannot be interpreted as an early antenatal model.</w:t>
      </w:r>
    </w:p>
    <w:p w14:paraId="6C16F091" w14:textId="77777777" w:rsidR="004F01D1" w:rsidRDefault="00000000">
      <w:r>
        <w:t>SHAP values were calculated for one-hot encoded categories, whereas permutation importance was calculated for aggregated variables. The values are not directly comparable; only the broad ranking is discussed.</w:t>
      </w:r>
    </w:p>
    <w:p w14:paraId="4717E389" w14:textId="77777777" w:rsidR="004F01D1" w:rsidRDefault="00000000">
      <w:pPr>
        <w:pStyle w:val="TableCaption"/>
      </w:pPr>
      <w:r>
        <w:t>Table VI. Feature Importance According to SHAP and Permutation Analyses</w:t>
      </w:r>
    </w:p>
    <w:tbl>
      <w:tblPr>
        <w:tblStyle w:val="Estilo1"/>
        <w:tblLook w:val="04A0" w:firstRow="1" w:lastRow="0" w:firstColumn="1" w:lastColumn="0" w:noHBand="0" w:noVBand="1"/>
        <w:tblW w:w="4300" w:type="dxa"/>
        <w:tblInd w:w="0" w:type="dxa"/>
        <w:tblLayout w:type="fixed"/>
      </w:tblPr>
      <w:tblGrid>
        <w:gridCol w:w="600"/>
        <w:gridCol w:w="1800"/>
        <w:gridCol w:w="1900"/>
      </w:tblGrid>
      <w:tr w:rsidR="004F01D1" w14:paraId="28B5756F"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600" w:type="dxa"/>
            <w:tcBorders>
              <w:bottom w:val="single" w:sz="4" w:space="0" w:color="000000"/>
            </w:tcBorders>
            <w:tcMar>
              <w:top w:w="0" w:type="dxa"/>
              <w:left w:w="36" w:type="dxa"/>
              <w:bottom w:w="0" w:type="dxa"/>
              <w:right w:w="36" w:type="dxa"/>
            </w:tcMar>
            <w:vAlign w:val="center"/>
          </w:tcPr>
          <w:p w14:paraId="7A80D828" w14:textId="77777777" w:rsidR="004F01D1" w:rsidRDefault="00000000">
            <w:pPr>
              <w:spacing w:before="20" w:after="20"/>
              <w:ind w:firstLine="0"/>
              <w:jc w:val="left"/>
              <w:rPr>
                <w:bCs/>
                <w:sz w:val="14"/>
                <w:szCs w:val="14"/>
                <w:vertAlign w:val="superscript"/>
              </w:rPr>
            </w:pPr>
            <w:r>
              <w:rPr>
                <w:rFonts w:ascii="Times New Roman" w:hAnsi="Times New Roman"/>
                <w:b/>
                <w:sz w:val="13"/>
                <w:szCs w:val="14"/>
              </w:rPr>
              <w:t>Rank</w:t>
            </w:r>
          </w:p>
        </w:tc>
        <w:tc>
          <w:tcPr>
            <w:tcW w:w="1800" w:type="dxa"/>
            <w:tcBorders>
              <w:bottom w:val="single" w:sz="4" w:space="0" w:color="000000"/>
            </w:tcBorders>
            <w:tcMar>
              <w:top w:w="0" w:type="dxa"/>
              <w:left w:w="36" w:type="dxa"/>
              <w:bottom w:w="0" w:type="dxa"/>
              <w:right w:w="36" w:type="dxa"/>
            </w:tcMar>
            <w:vAlign w:val="center"/>
          </w:tcPr>
          <w:p w14:paraId="3BF16B1F" w14:textId="77777777" w:rsidR="004F01D1" w:rsidRDefault="00000000">
            <w:pPr>
              <w:spacing w:before="20" w:after="20"/>
              <w:ind w:firstLine="0"/>
              <w:jc w:val="center"/>
              <w:rPr>
                <w:bCs/>
                <w:sz w:val="14"/>
                <w:szCs w:val="14"/>
                <w:vertAlign w:val="superscript"/>
              </w:rPr>
            </w:pPr>
            <w:r>
              <w:rPr>
                <w:rFonts w:ascii="Times New Roman" w:hAnsi="Times New Roman"/>
                <w:b/>
                <w:sz w:val="13"/>
                <w:szCs w:val="14"/>
              </w:rPr>
              <w:t>SHAP (Mean |SHAP|)</w:t>
            </w:r>
          </w:p>
        </w:tc>
        <w:tc>
          <w:tcPr>
            <w:tcW w:w="1900" w:type="dxa"/>
            <w:tcBorders>
              <w:bottom w:val="single" w:sz="4" w:space="0" w:color="000000"/>
            </w:tcBorders>
            <w:tcMar>
              <w:top w:w="0" w:type="dxa"/>
              <w:left w:w="36" w:type="dxa"/>
              <w:bottom w:w="0" w:type="dxa"/>
              <w:right w:w="36" w:type="dxa"/>
            </w:tcMar>
            <w:vAlign w:val="center"/>
          </w:tcPr>
          <w:p w14:paraId="37A75004" w14:textId="77777777" w:rsidR="004F01D1" w:rsidRDefault="00000000">
            <w:pPr>
              <w:spacing w:before="20" w:after="20"/>
              <w:ind w:firstLine="0"/>
              <w:jc w:val="center"/>
              <w:rPr>
                <w:bCs/>
                <w:sz w:val="14"/>
                <w:szCs w:val="14"/>
                <w:vertAlign w:val="superscript"/>
              </w:rPr>
            </w:pPr>
            <w:r>
              <w:rPr>
                <w:rFonts w:ascii="Times New Roman" w:hAnsi="Times New Roman"/>
                <w:b/>
                <w:sz w:val="13"/>
                <w:szCs w:val="14"/>
              </w:rPr>
              <w:t>Permutation Feature Importance (ΔROC-AUC)</w:t>
            </w:r>
          </w:p>
        </w:tc>
      </w:tr>
      <w:tr w:rsidR="004F01D1" w14:paraId="30FC08AA" w14:textId="77777777" w:rsidTr="004F01D1">
        <w:tc>
          <w:tcPr>
            <w:tcW w:w="600" w:type="dxa"/>
            <w:tcMar>
              <w:top w:w="0" w:type="dxa"/>
              <w:left w:w="36" w:type="dxa"/>
              <w:bottom w:w="0" w:type="dxa"/>
              <w:right w:w="36" w:type="dxa"/>
            </w:tcMar>
            <w:vAlign w:val="center"/>
          </w:tcPr>
          <w:p w14:paraId="5466DDD8" w14:textId="77777777" w:rsidR="004F01D1" w:rsidRDefault="00000000">
            <w:pPr>
              <w:spacing w:before="36" w:after="36"/>
              <w:ind w:firstLine="0"/>
              <w:jc w:val="left"/>
              <w:rPr>
                <w:sz w:val="14"/>
                <w:szCs w:val="14"/>
              </w:rPr>
            </w:pPr>
            <w:r>
              <w:rPr>
                <w:rFonts w:ascii="Times New Roman" w:hAnsi="Times New Roman"/>
                <w:sz w:val="13"/>
                <w:szCs w:val="14"/>
              </w:rPr>
              <w:t>1</w:t>
            </w:r>
          </w:p>
        </w:tc>
        <w:tc>
          <w:tcPr>
            <w:tcW w:w="1800" w:type="dxa"/>
            <w:tcMar>
              <w:top w:w="0" w:type="dxa"/>
              <w:left w:w="36" w:type="dxa"/>
              <w:bottom w:w="0" w:type="dxa"/>
              <w:right w:w="36" w:type="dxa"/>
            </w:tcMar>
            <w:vAlign w:val="center"/>
          </w:tcPr>
          <w:p w14:paraId="09597BFE" w14:textId="77777777" w:rsidR="004F01D1" w:rsidRDefault="00000000">
            <w:pPr>
              <w:spacing w:before="36" w:after="36"/>
              <w:ind w:firstLine="0"/>
              <w:jc w:val="center"/>
              <w:rPr>
                <w:sz w:val="14"/>
                <w:szCs w:val="14"/>
              </w:rPr>
            </w:pPr>
            <w:r>
              <w:rPr>
                <w:rFonts w:ascii="Times New Roman" w:hAnsi="Times New Roman"/>
                <w:sz w:val="13"/>
                <w:szCs w:val="14"/>
              </w:rPr>
              <w:t>Birth attendant (Obstetrician): 0.0974</w:t>
            </w:r>
          </w:p>
        </w:tc>
        <w:tc>
          <w:tcPr>
            <w:tcW w:w="1900" w:type="dxa"/>
            <w:tcMar>
              <w:top w:w="0" w:type="dxa"/>
              <w:left w:w="36" w:type="dxa"/>
              <w:bottom w:w="0" w:type="dxa"/>
              <w:right w:w="36" w:type="dxa"/>
            </w:tcMar>
            <w:vAlign w:val="center"/>
          </w:tcPr>
          <w:p w14:paraId="48F66E8E" w14:textId="77777777" w:rsidR="004F01D1" w:rsidRDefault="00000000">
            <w:pPr>
              <w:spacing w:before="36" w:after="36"/>
              <w:ind w:firstLine="0"/>
              <w:jc w:val="center"/>
              <w:rPr>
                <w:sz w:val="14"/>
                <w:szCs w:val="14"/>
              </w:rPr>
            </w:pPr>
            <w:r>
              <w:rPr>
                <w:rFonts w:ascii="Times New Roman" w:hAnsi="Times New Roman"/>
                <w:sz w:val="13"/>
                <w:szCs w:val="14"/>
              </w:rPr>
              <w:t>Birth attendant (Obstetrician): 0.0974</w:t>
            </w:r>
          </w:p>
        </w:tc>
      </w:tr>
      <w:tr w:rsidR="004F01D1" w14:paraId="4DEA8DFE" w14:textId="77777777" w:rsidTr="004F01D1">
        <w:tc>
          <w:tcPr>
            <w:tcW w:w="600" w:type="dxa"/>
            <w:tcMar>
              <w:top w:w="0" w:type="dxa"/>
              <w:left w:w="36" w:type="dxa"/>
              <w:bottom w:w="0" w:type="dxa"/>
              <w:right w:w="36" w:type="dxa"/>
            </w:tcMar>
            <w:vAlign w:val="center"/>
          </w:tcPr>
          <w:p w14:paraId="4FE53BBF" w14:textId="77777777" w:rsidR="004F01D1" w:rsidRDefault="00000000">
            <w:pPr>
              <w:spacing w:before="36" w:after="36"/>
              <w:ind w:firstLine="0"/>
              <w:jc w:val="left"/>
              <w:rPr>
                <w:sz w:val="14"/>
                <w:szCs w:val="14"/>
              </w:rPr>
            </w:pPr>
            <w:r>
              <w:rPr>
                <w:rFonts w:ascii="Times New Roman" w:hAnsi="Times New Roman"/>
                <w:sz w:val="13"/>
                <w:szCs w:val="14"/>
              </w:rPr>
              <w:t>2</w:t>
            </w:r>
          </w:p>
        </w:tc>
        <w:tc>
          <w:tcPr>
            <w:tcW w:w="1800" w:type="dxa"/>
            <w:tcMar>
              <w:top w:w="0" w:type="dxa"/>
              <w:left w:w="36" w:type="dxa"/>
              <w:bottom w:w="0" w:type="dxa"/>
              <w:right w:w="36" w:type="dxa"/>
            </w:tcMar>
            <w:vAlign w:val="center"/>
          </w:tcPr>
          <w:p w14:paraId="2831EDFF" w14:textId="77777777" w:rsidR="004F01D1" w:rsidRDefault="00000000">
            <w:pPr>
              <w:spacing w:before="36" w:after="36"/>
              <w:ind w:firstLine="0"/>
              <w:jc w:val="center"/>
              <w:rPr>
                <w:sz w:val="14"/>
                <w:szCs w:val="14"/>
              </w:rPr>
            </w:pPr>
            <w:r>
              <w:rPr>
                <w:rFonts w:ascii="Times New Roman" w:hAnsi="Times New Roman"/>
                <w:sz w:val="13"/>
                <w:szCs w:val="14"/>
              </w:rPr>
              <w:t>Number of maternal pregnancies: 0.0780</w:t>
            </w:r>
          </w:p>
        </w:tc>
        <w:tc>
          <w:tcPr>
            <w:tcW w:w="1900" w:type="dxa"/>
            <w:tcMar>
              <w:top w:w="0" w:type="dxa"/>
              <w:left w:w="36" w:type="dxa"/>
              <w:bottom w:w="0" w:type="dxa"/>
              <w:right w:w="36" w:type="dxa"/>
            </w:tcMar>
            <w:vAlign w:val="center"/>
          </w:tcPr>
          <w:p w14:paraId="1E8420C9" w14:textId="77777777" w:rsidR="004F01D1" w:rsidRDefault="00000000">
            <w:pPr>
              <w:spacing w:before="36" w:after="36"/>
              <w:ind w:firstLine="0"/>
              <w:jc w:val="center"/>
              <w:rPr>
                <w:sz w:val="14"/>
                <w:szCs w:val="14"/>
              </w:rPr>
            </w:pPr>
            <w:r>
              <w:rPr>
                <w:rFonts w:ascii="Times New Roman" w:hAnsi="Times New Roman"/>
                <w:sz w:val="13"/>
                <w:szCs w:val="14"/>
              </w:rPr>
              <w:t>Number of maternal pregnancies: 0.0780</w:t>
            </w:r>
          </w:p>
        </w:tc>
      </w:tr>
      <w:tr w:rsidR="004F01D1" w14:paraId="08C1A1CE" w14:textId="77777777" w:rsidTr="004F01D1">
        <w:tc>
          <w:tcPr>
            <w:tcW w:w="600" w:type="dxa"/>
            <w:tcMar>
              <w:top w:w="0" w:type="dxa"/>
              <w:left w:w="36" w:type="dxa"/>
              <w:bottom w:w="0" w:type="dxa"/>
              <w:right w:w="36" w:type="dxa"/>
            </w:tcMar>
            <w:vAlign w:val="center"/>
          </w:tcPr>
          <w:p w14:paraId="3A563459" w14:textId="77777777" w:rsidR="004F01D1" w:rsidRDefault="00000000">
            <w:pPr>
              <w:spacing w:before="36" w:after="36"/>
              <w:ind w:firstLine="0"/>
              <w:jc w:val="left"/>
              <w:rPr>
                <w:sz w:val="14"/>
                <w:szCs w:val="14"/>
              </w:rPr>
            </w:pPr>
            <w:r>
              <w:rPr>
                <w:rFonts w:ascii="Times New Roman" w:hAnsi="Times New Roman"/>
                <w:sz w:val="13"/>
                <w:szCs w:val="14"/>
              </w:rPr>
              <w:t>3</w:t>
            </w:r>
          </w:p>
        </w:tc>
        <w:tc>
          <w:tcPr>
            <w:tcW w:w="1800" w:type="dxa"/>
            <w:tcMar>
              <w:top w:w="0" w:type="dxa"/>
              <w:left w:w="36" w:type="dxa"/>
              <w:bottom w:w="0" w:type="dxa"/>
              <w:right w:w="36" w:type="dxa"/>
            </w:tcMar>
            <w:vAlign w:val="center"/>
          </w:tcPr>
          <w:p w14:paraId="18230377" w14:textId="77777777" w:rsidR="004F01D1" w:rsidRDefault="00000000">
            <w:pPr>
              <w:spacing w:before="36" w:after="36"/>
              <w:ind w:firstLine="0"/>
              <w:jc w:val="center"/>
              <w:rPr>
                <w:sz w:val="14"/>
                <w:szCs w:val="14"/>
              </w:rPr>
            </w:pPr>
            <w:r>
              <w:rPr>
                <w:rFonts w:ascii="Times New Roman" w:hAnsi="Times New Roman"/>
                <w:sz w:val="13"/>
                <w:szCs w:val="14"/>
              </w:rPr>
              <w:t>Number of living children: 0.0723</w:t>
            </w:r>
          </w:p>
        </w:tc>
        <w:tc>
          <w:tcPr>
            <w:tcW w:w="1900" w:type="dxa"/>
            <w:tcMar>
              <w:top w:w="0" w:type="dxa"/>
              <w:left w:w="36" w:type="dxa"/>
              <w:bottom w:w="0" w:type="dxa"/>
              <w:right w:w="36" w:type="dxa"/>
            </w:tcMar>
            <w:vAlign w:val="center"/>
          </w:tcPr>
          <w:p w14:paraId="1248AA80" w14:textId="77777777" w:rsidR="004F01D1" w:rsidRDefault="00000000">
            <w:pPr>
              <w:spacing w:before="36" w:after="36"/>
              <w:ind w:firstLine="0"/>
              <w:jc w:val="center"/>
              <w:rPr>
                <w:sz w:val="14"/>
                <w:szCs w:val="14"/>
              </w:rPr>
            </w:pPr>
            <w:r>
              <w:rPr>
                <w:rFonts w:ascii="Times New Roman" w:hAnsi="Times New Roman"/>
                <w:sz w:val="13"/>
                <w:szCs w:val="14"/>
              </w:rPr>
              <w:t>Number of living children: 0.0723</w:t>
            </w:r>
          </w:p>
        </w:tc>
      </w:tr>
      <w:tr w:rsidR="004F01D1" w14:paraId="5B6C5E19" w14:textId="77777777" w:rsidTr="004F01D1">
        <w:tc>
          <w:tcPr>
            <w:tcW w:w="600" w:type="dxa"/>
            <w:tcMar>
              <w:top w:w="0" w:type="dxa"/>
              <w:left w:w="36" w:type="dxa"/>
              <w:bottom w:w="0" w:type="dxa"/>
              <w:right w:w="36" w:type="dxa"/>
            </w:tcMar>
            <w:vAlign w:val="center"/>
          </w:tcPr>
          <w:p w14:paraId="0769233F" w14:textId="77777777" w:rsidR="004F01D1" w:rsidRDefault="00000000">
            <w:pPr>
              <w:spacing w:before="36" w:after="36"/>
              <w:ind w:firstLine="0"/>
              <w:jc w:val="left"/>
              <w:rPr>
                <w:sz w:val="14"/>
                <w:szCs w:val="14"/>
              </w:rPr>
            </w:pPr>
            <w:r>
              <w:rPr>
                <w:rFonts w:ascii="Times New Roman" w:hAnsi="Times New Roman"/>
                <w:sz w:val="13"/>
                <w:szCs w:val="14"/>
              </w:rPr>
              <w:t>4</w:t>
            </w:r>
          </w:p>
        </w:tc>
        <w:tc>
          <w:tcPr>
            <w:tcW w:w="1800" w:type="dxa"/>
            <w:tcMar>
              <w:top w:w="0" w:type="dxa"/>
              <w:left w:w="36" w:type="dxa"/>
              <w:bottom w:w="0" w:type="dxa"/>
              <w:right w:w="36" w:type="dxa"/>
            </w:tcMar>
            <w:vAlign w:val="center"/>
          </w:tcPr>
          <w:p w14:paraId="6779DF55" w14:textId="77777777" w:rsidR="004F01D1" w:rsidRDefault="00000000">
            <w:pPr>
              <w:spacing w:before="36" w:after="36"/>
              <w:ind w:firstLine="0"/>
              <w:jc w:val="center"/>
              <w:rPr>
                <w:sz w:val="14"/>
                <w:szCs w:val="14"/>
              </w:rPr>
            </w:pPr>
            <w:r>
              <w:rPr>
                <w:rFonts w:ascii="Times New Roman" w:hAnsi="Times New Roman"/>
                <w:sz w:val="13"/>
                <w:szCs w:val="14"/>
              </w:rPr>
              <w:t>—</w:t>
            </w:r>
          </w:p>
        </w:tc>
        <w:tc>
          <w:tcPr>
            <w:tcW w:w="1900" w:type="dxa"/>
            <w:tcMar>
              <w:top w:w="0" w:type="dxa"/>
              <w:left w:w="36" w:type="dxa"/>
              <w:bottom w:w="0" w:type="dxa"/>
              <w:right w:w="36" w:type="dxa"/>
            </w:tcMar>
            <w:vAlign w:val="center"/>
          </w:tcPr>
          <w:p w14:paraId="4979A99A" w14:textId="77777777" w:rsidR="004F01D1" w:rsidRDefault="00000000">
            <w:pPr>
              <w:spacing w:before="36" w:after="36"/>
              <w:ind w:firstLine="0"/>
              <w:jc w:val="center"/>
              <w:rPr>
                <w:sz w:val="14"/>
                <w:szCs w:val="14"/>
              </w:rPr>
            </w:pPr>
            <w:r>
              <w:rPr>
                <w:rFonts w:ascii="Times New Roman" w:hAnsi="Times New Roman"/>
                <w:sz w:val="13"/>
                <w:szCs w:val="14"/>
              </w:rPr>
              <w:t>Delivery funding source: 0.0432</w:t>
            </w:r>
          </w:p>
        </w:tc>
      </w:tr>
    </w:tbl>
    <w:p w14:paraId="6762C729" w14:textId="77777777" w:rsidR="004F01D1" w:rsidRDefault="00000000">
      <w:pPr>
        <w:pStyle w:val="NotaTabla"/>
      </w:pPr>
      <w:r>
        <w:t>Note: SHAP magnitudes refer to encoded categories and permutation importance to original variables. Delivery-context features are shown to document the fitted model, not to endorse their use in early prediction.</w:t>
      </w:r>
    </w:p>
    <w:p w14:paraId="537F672E" w14:textId="77777777" w:rsidR="004F01D1" w:rsidRDefault="00000000">
      <w:r>
        <w:t>Fig. 8 shows that the most influential variables exhibit nonlinear relationships with the predicted probability of low birth weight.</w:t>
      </w:r>
    </w:p>
    <w:p w14:paraId="59A63024" w14:textId="77777777" w:rsidR="004F01D1" w:rsidRDefault="004F01D1"/>
    <w:p w14:paraId="5791CC83" w14:textId="77777777" w:rsidR="004F01D1" w:rsidRDefault="00000000">
      <w:pPr>
        <w:ind w:firstLine="567"/>
      </w:pPr>
      <w:r>
        <w:rPr>
          <w:noProof/>
        </w:rPr>
        <w:lastRenderedPageBreak/>
        <w:drawing>
          <wp:inline distT="0" distB="0" distL="0" distR="0" wp14:anchorId="74619D82" wp14:editId="5FE46F86">
            <wp:extent cx="2459990" cy="1560830"/>
            <wp:effectExtent l="0" t="0" r="0" b="0"/>
            <wp:docPr id="10" name="Imagen 7" descr="Partial dependence plots for maternal age, pregnancies, living children, and deceased children" title="Partial dependence plots for maternal age, pregnancies, living children, and deceased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pic:cNvPicPr>
                      <a:picLocks noChangeAspect="1" noChangeArrowheads="1"/>
                    </pic:cNvPicPr>
                  </pic:nvPicPr>
                  <pic:blipFill>
                    <a:blip r:embed="rId25"/>
                    <a:stretch>
                      <a:fillRect/>
                    </a:stretch>
                  </pic:blipFill>
                  <pic:spPr bwMode="auto">
                    <a:xfrm>
                      <a:off x="0" y="0"/>
                      <a:ext cx="2459990" cy="1560830"/>
                    </a:xfrm>
                    <a:prstGeom prst="rect">
                      <a:avLst/>
                    </a:prstGeom>
                    <a:noFill/>
                  </pic:spPr>
                </pic:pic>
              </a:graphicData>
            </a:graphic>
          </wp:inline>
        </w:drawing>
      </w:r>
    </w:p>
    <w:p w14:paraId="0F5FABF6" w14:textId="77777777" w:rsidR="004F01D1" w:rsidRDefault="00000000">
      <w:pPr>
        <w:pStyle w:val="FigureCaption"/>
      </w:pPr>
      <w:r>
        <w:t>Figure 8. Partial dependence plots for selected variables.</w:t>
      </w:r>
    </w:p>
    <w:p w14:paraId="6454C532" w14:textId="77777777" w:rsidR="004F01D1" w:rsidRDefault="00000000">
      <w:r>
        <w:t>Maternal age exhibited a U-shaped pattern, with the lowest predicted probabilities observed approximately between 23 and 30 years of age and higher probabilities at both younger and older ages. In contrast, the number of living children showed a positive relationship with the predicted risk, whereas the number of deceased children increased the predicted probability up to approximately one event, after which the effect stabilized. The number of pregnancies displayed a non-monotonic relationship, with the predicted probability decreasing after the second pregnancy. These findings indicate that the effects of the most influential variables cannot be adequately described by simple linear relationships and demonstrate the model's ability to capture complex patterns present in the data.</w:t>
      </w:r>
    </w:p>
    <w:p w14:paraId="231DFE49" w14:textId="77777777" w:rsidR="004F01D1" w:rsidRDefault="00000000">
      <w:pPr>
        <w:pStyle w:val="Ttulo2"/>
      </w:pPr>
      <w:r>
        <w:t>F. Calibration</w:t>
      </w:r>
    </w:p>
    <w:p w14:paraId="50B0F84E" w14:textId="77777777" w:rsidR="004F01D1" w:rsidRDefault="00000000">
      <w:r>
        <w:t>Raw probabilities were poorly calibrated for all models except LightGBM. HistGradientBoosting had an ECE of 0.3988, and its mean predicted probability was 46.31% compared with an observed LBW prevalence of 6.43%. Platt or isotonic recalibration produced low apparent ECE values when fitted and assessed on the same 2025 data, but these values require validation in a separate cohort.</w:t>
      </w:r>
    </w:p>
    <w:p w14:paraId="3032B49C" w14:textId="77777777" w:rsidR="004F01D1" w:rsidRDefault="00000000">
      <w:pPr>
        <w:pStyle w:val="TableCaption"/>
      </w:pPr>
      <w:r>
        <w:t>Table VII. Apparent Calibration Before and After Recalibration</w:t>
      </w:r>
    </w:p>
    <w:tbl>
      <w:tblPr>
        <w:tblStyle w:val="Estilo1"/>
        <w:tblLook w:val="04A0" w:firstRow="1" w:lastRow="0" w:firstColumn="1" w:lastColumn="0" w:noHBand="0" w:noVBand="1"/>
        <w:tblW w:w="4300" w:type="dxa"/>
        <w:tblInd w:w="0" w:type="dxa"/>
        <w:tblLayout w:type="fixed"/>
      </w:tblPr>
      <w:tblGrid>
        <w:gridCol w:w="1700"/>
        <w:gridCol w:w="1000"/>
        <w:gridCol w:w="1600"/>
      </w:tblGrid>
      <w:tr w:rsidR="004F01D1" w14:paraId="67DB14A2"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700" w:type="dxa"/>
            <w:tcBorders>
              <w:bottom w:val="single" w:sz="4" w:space="0" w:color="000000"/>
            </w:tcBorders>
            <w:vAlign w:val="center"/>
            <w:tcMar>
              <w:top w:w="0" w:type="dxa"/>
              <w:left w:w="36" w:type="dxa"/>
              <w:bottom w:w="0" w:type="dxa"/>
              <w:right w:w="36" w:type="dxa"/>
            </w:tcMar>
          </w:tcPr>
          <w:p>
            <w:pPr>
              <w:jc w:val="left"/>
            </w:pPr>
            <w:r>
              <w:rPr>
                <w:rFonts w:ascii="Times New Roman" w:hAnsi="Times New Roman"/>
                <w:b/>
                <w:sz w:val="13"/>
              </w:rPr>
              <w:t>Model</w:t>
            </w:r>
          </w:p>
        </w:tc>
        <w:tc>
          <w:tcPr>
            <w:tcW w:w="10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Raw ECE</w:t>
            </w:r>
          </w:p>
        </w:tc>
        <w:tc>
          <w:tcPr>
            <w:tcW w:w="16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Apparent ECE after recalibration*</w:t>
            </w:r>
          </w:p>
        </w:tc>
      </w:tr>
      <w:tr w:rsidR="004F01D1" w14:paraId="2F39704E"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Logistic Regression</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0.4114</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0.0010</w:t>
            </w:r>
          </w:p>
        </w:tc>
      </w:tr>
      <w:tr w:rsidR="004F01D1" w14:paraId="308E286D"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Random Forest</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0.4154</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0.0029</w:t>
            </w:r>
          </w:p>
        </w:tc>
      </w:tr>
      <w:tr w:rsidR="004F01D1" w14:paraId="39AD2B3F"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XGBoost</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0.4095</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0.0030</w:t>
            </w:r>
          </w:p>
        </w:tc>
      </w:tr>
      <w:tr w:rsidR="004F01D1" w14:paraId="4D41A86B"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LightGBM</w:t>
            </w:r>
          </w:p>
        </w:tc>
        <w:tc>
          <w:tcPr>
            <w:tcW w:w="1000" w:type="dxa"/>
            <w:vAlign w:val="center"/>
            <w:tcMar>
              <w:top w:w="0" w:type="dxa"/>
              <w:left w:w="36" w:type="dxa"/>
              <w:bottom w:w="0" w:type="dxa"/>
              <w:right w:w="36" w:type="dxa"/>
            </w:tcMar>
          </w:tcPr>
          <w:p>
            <w:pPr>
              <w:jc w:val="center"/>
            </w:pPr>
            <w:r>
              <w:rPr>
                <w:rFonts w:ascii="Times New Roman" w:hAnsi="Times New Roman"/>
                <w:b w:val="0"/>
                <w:sz w:val="13"/>
              </w:rPr>
              <w:t>0.0416</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0.0006</w:t>
            </w:r>
          </w:p>
        </w:tc>
      </w:tr>
      <w:tr w:rsidR="004F01D1" w14:paraId="47EB7257"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CatBoost</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0.4035</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0.0026</w:t>
            </w:r>
          </w:p>
        </w:tc>
      </w:tr>
      <w:tr w:rsidR="004F01D1" w14:paraId="3B1AE5AA"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HistGradientBoosting</w:t>
            </w:r>
          </w:p>
        </w:tc>
        <w:tc>
          <w:tcPr>
            <w:tcW w:w="1000" w:type="dxa"/>
            <w:vAlign w:val="center"/>
            <w:tcMar>
              <w:top w:w="0" w:type="dxa"/>
              <w:left w:w="36" w:type="dxa"/>
              <w:bottom w:w="0" w:type="dxa"/>
              <w:right w:w="36" w:type="dxa"/>
            </w:tcMar>
          </w:tcPr>
          <w:p>
            <w:pPr>
              <w:jc w:val="center"/>
            </w:pPr>
            <w:r>
              <w:rPr>
                <w:rFonts w:ascii="Times New Roman" w:hAnsi="Times New Roman"/>
                <w:b w:val="0"/>
                <w:sz w:val="13"/>
              </w:rPr>
              <w:t>0.3988</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0.0037</w:t>
            </w:r>
          </w:p>
        </w:tc>
      </w:tr>
      <w:tr w:rsidR="004F01D1" w14:paraId="72DE49B2"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Extra Trees</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0.4274</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0.0015</w:t>
            </w:r>
          </w:p>
        </w:tc>
      </w:tr>
      <w:tr w:rsidR="004F01D1" w14:paraId="5E00970A" w14:textId="77777777" w:rsidTr="004F01D1">
        <w:tc>
          <w:tcPr>
            <w:tcW w:w="1700" w:type="dxa"/>
            <w:vAlign w:val="center"/>
            <w:tcMar>
              <w:top w:w="0" w:type="dxa"/>
              <w:left w:w="36" w:type="dxa"/>
              <w:bottom w:w="0" w:type="dxa"/>
              <w:right w:w="36" w:type="dxa"/>
            </w:tcMar>
          </w:tcPr>
          <w:p>
            <w:pPr>
              <w:jc w:val="left"/>
            </w:pPr>
            <w:r>
              <w:rPr>
                <w:rFonts w:ascii="Times New Roman" w:hAnsi="Times New Roman"/>
                <w:b w:val="0"/>
                <w:sz w:val="13"/>
              </w:rPr>
              <w:t>Balanced Random Forest</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0.4089</w:t>
            </w:r>
          </w:p>
        </w:tc>
        <w:tc>
          <w:tcPr>
            <w:tcW w:w="1600" w:type="dxa"/>
            <w:vAlign w:val="center"/>
            <w:tcMar>
              <w:top w:w="0" w:type="dxa"/>
              <w:left w:w="36" w:type="dxa"/>
              <w:bottom w:w="0" w:type="dxa"/>
              <w:right w:w="36" w:type="dxa"/>
            </w:tcMar>
          </w:tcPr>
          <w:p>
            <w:pPr>
              <w:jc w:val="center"/>
            </w:pPr>
            <w:r>
              <w:rPr>
                <w:rFonts w:ascii="Times New Roman" w:hAnsi="Times New Roman"/>
                <w:b w:val="0"/>
                <w:sz w:val="13"/>
              </w:rPr>
              <w:t>0.0033</w:t>
            </w:r>
          </w:p>
        </w:tc>
      </w:tr>
    </w:tbl>
    <w:p w14:paraId="57AF41F6" w14:textId="77777777" w:rsidR="004F01D1" w:rsidRDefault="00000000">
      <w:pPr>
        <w:pStyle w:val="NotaTabla"/>
      </w:pPr>
      <w:r>
        <w:t>Note: ECE = expected calibration error. Post-recalibration ECE is an apparent estimate because each method was fitted and evaluated on the same 2025 predictions; it is not an independently validated calibration result. Platt scaling was examined for LightGBM and HistGradientBoosting; isotonic regression was examined for the remaining models.</w:t>
      </w:r>
    </w:p>
    <w:p w14:paraId="7982575A" w14:textId="77777777" w:rsidR="004F01D1" w:rsidRDefault="00000000">
      <w:r>
        <w:t>Figure 9 shows most calibration curves below the 45-degree line: observed event rates were lower than the corresponding predicted probabilities. This pattern represents systematic overestimation of absolute LBW risk, not underestimation.</w:t>
      </w:r>
    </w:p>
    <w:p w14:paraId="185E017F" w14:textId="77777777" w:rsidR="004F01D1" w:rsidRDefault="004F01D1"/>
    <w:p w14:paraId="696C2AE5" w14:textId="77777777" w:rsidR="004F01D1" w:rsidRDefault="00000000">
      <w:pPr>
        <w:ind w:firstLine="426"/>
      </w:pPr>
      <w:r>
        <w:rPr>
          <w:noProof/>
        </w:rPr>
        <w:drawing>
          <wp:inline distT="0" distB="0" distL="0" distR="0" wp14:anchorId="599745B7" wp14:editId="1B5A55C0">
            <wp:extent cx="2614295" cy="1296670"/>
            <wp:effectExtent l="0" t="0" r="0" b="0"/>
            <wp:docPr id="11" name="Imagen 9" descr="Pre-recalibration curves showing systematic overestimation of absolute low-birth-weight risk" title="Pre-recalibration curves showing systematic overestimation of absolute low-birth-weight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
                    <pic:cNvPicPr>
                      <a:picLocks noChangeAspect="1" noChangeArrowheads="1"/>
                    </pic:cNvPicPr>
                  </pic:nvPicPr>
                  <pic:blipFill>
                    <a:blip r:embed="rId26"/>
                    <a:stretch>
                      <a:fillRect/>
                    </a:stretch>
                  </pic:blipFill>
                  <pic:spPr bwMode="auto">
                    <a:xfrm>
                      <a:off x="0" y="0"/>
                      <a:ext cx="2614295" cy="1296670"/>
                    </a:xfrm>
                    <a:prstGeom prst="rect">
                      <a:avLst/>
                    </a:prstGeom>
                    <a:noFill/>
                  </pic:spPr>
                </pic:pic>
              </a:graphicData>
            </a:graphic>
          </wp:inline>
        </w:drawing>
      </w:r>
    </w:p>
    <w:p w14:paraId="75B67126" w14:textId="77777777" w:rsidR="004F01D1" w:rsidRDefault="00000000">
      <w:pPr>
        <w:pStyle w:val="FigureCaption"/>
      </w:pPr>
      <w:r>
        <w:t>Figure 9. Calibration curves before recalibration.</w:t>
      </w:r>
    </w:p>
    <w:p w14:paraId="731FB676" w14:textId="77777777" w:rsidR="004F01D1" w:rsidRDefault="00000000">
      <w:r>
        <w:t>The raw outputs cannot be interpreted as absolute risk. The apparent recalibration analysis demonstrates that correction is possible, but calibrated probabilities were not independently validated and were not used to support risk categories or clinical decisions in this revision.</w:t>
      </w:r>
    </w:p>
    <w:p w14:paraId="22A7D038" w14:textId="77777777" w:rsidR="004F01D1" w:rsidRDefault="00000000">
      <w:pPr>
        <w:pStyle w:val="Ttulo2"/>
        <w:rPr>
          <w:lang w:eastAsia="en-US"/>
        </w:rPr>
      </w:pPr>
      <w:r>
        <w:rPr>
          <w:lang w:eastAsia="en-US"/>
        </w:rPr>
        <w:t>G. Fairness Audit</w:t>
      </w:r>
    </w:p>
    <w:p w14:paraId="1AEBB7DB" w14:textId="77777777" w:rsidR="004F01D1" w:rsidRDefault="00000000">
      <w:pPr>
        <w:rPr>
          <w:lang w:eastAsia="en-US"/>
        </w:rPr>
      </w:pPr>
      <w:r>
        <w:rPr>
          <w:lang w:eastAsia="en-US"/>
        </w:rPr>
        <w:t>Table VIII summarizes discrimination and threshold-dependent performance across sex, natural region, and maternal age groups. Sex differences were small, regional differences were moderate, and the largest heterogeneity occurred across maternal age groups.</w:t>
      </w:r>
    </w:p>
    <w:p w14:paraId="5FF91949" w14:textId="77777777" w:rsidR="004F01D1" w:rsidRDefault="00000000">
      <w:pPr>
        <w:rPr>
          <w:lang w:eastAsia="en-US"/>
        </w:rPr>
      </w:pPr>
      <w:r>
        <w:rPr>
          <w:lang w:eastAsia="en-US"/>
        </w:rPr>
        <w:t>The weakest discrimination occurred among mothers aged 14 years or younger (n = 851; ROC-AUC, 0.4971), although the small subgroup makes the estimate imprecise. Calibration gaps based on raw probabilities were 0.5051 (≤14 years), 0.4520 (15–19 years), 0.3786 (20–34 years), and 0.4312 (≥35 years); these large positive gaps are consistent with risk overestimation and should not be interpreted as validated subgroup risk estimates.</w:t>
      </w:r>
    </w:p>
    <w:p w14:paraId="724BDF5B" w14:textId="77777777" w:rsidR="004F01D1" w:rsidRDefault="00000000">
      <w:pPr>
        <w:pStyle w:val="TableCaption"/>
      </w:pPr>
      <w:r>
        <w:t>Table VIII. HistGradientBoosting Performance Across Population Subgroups</w:t>
      </w:r>
    </w:p>
    <w:tbl>
      <w:tblPr>
        <w:tblStyle w:val="Estilo1"/>
        <w:tblLook w:val="04A0" w:firstRow="1" w:lastRow="0" w:firstColumn="1" w:lastColumn="0" w:noHBand="0" w:noVBand="1"/>
        <w:tblW w:w="4300" w:type="dxa"/>
        <w:tblInd w:w="0" w:type="dxa"/>
        <w:tblLayout w:type="fixed"/>
      </w:tblPr>
      <w:tblGrid>
        <w:gridCol w:w="1300"/>
        <w:gridCol w:w="1100"/>
        <w:gridCol w:w="1000"/>
        <w:gridCol w:w="900"/>
      </w:tblGrid>
      <w:tr w:rsidR="004F01D1" w14:paraId="1EE369C5"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300" w:type="dxa"/>
            <w:tcBorders>
              <w:bottom w:val="single" w:sz="4" w:space="0" w:color="000000"/>
            </w:tcBorders>
            <w:vAlign w:val="center"/>
            <w:tcMar>
              <w:top w:w="0" w:type="dxa"/>
              <w:left w:w="36" w:type="dxa"/>
              <w:bottom w:w="0" w:type="dxa"/>
              <w:right w:w="36" w:type="dxa"/>
            </w:tcMar>
          </w:tcPr>
          <w:p>
            <w:pPr>
              <w:jc w:val="left"/>
            </w:pPr>
            <w:r>
              <w:rPr>
                <w:rFonts w:ascii="Times New Roman" w:hAnsi="Times New Roman"/>
                <w:b/>
                <w:sz w:val="13"/>
              </w:rPr>
              <w:t>Subgroup</w:t>
            </w:r>
          </w:p>
        </w:tc>
        <w:tc>
          <w:tcPr>
            <w:tcW w:w="11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N</w:t>
            </w:r>
          </w:p>
        </w:tc>
        <w:tc>
          <w:tcPr>
            <w:tcW w:w="10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ROC-AUC</w:t>
            </w:r>
          </w:p>
        </w:tc>
        <w:tc>
          <w:tcPr>
            <w:tcW w:w="900" w:type="dxa"/>
            <w:tcBorders>
              <w:bottom w:val="single" w:sz="4" w:space="0" w:color="000000"/>
            </w:tcBorders>
            <w:vAlign w:val="center"/>
            <w:tcMar>
              <w:top w:w="0" w:type="dxa"/>
              <w:left w:w="36" w:type="dxa"/>
              <w:bottom w:w="0" w:type="dxa"/>
              <w:right w:w="36" w:type="dxa"/>
            </w:tcMar>
          </w:tcPr>
          <w:p>
            <w:pPr>
              <w:jc w:val="center"/>
            </w:pPr>
            <w:r>
              <w:rPr>
                <w:rFonts w:ascii="Times New Roman" w:hAnsi="Times New Roman"/>
                <w:b/>
                <w:sz w:val="13"/>
              </w:rPr>
              <w:t>Recall</w:t>
            </w:r>
          </w:p>
        </w:tc>
      </w:tr>
      <w:tr w:rsidR="004F01D1" w14:paraId="5B94A664"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Sex</w:t>
            </w:r>
          </w:p>
        </w:tc>
        <w:tc>
          <w:tcPr>
            <w:tcW w:w="1100" w:type="dxa"/>
            <w:vAlign w:val="center"/>
            <w:tcMar>
              <w:top w:w="0" w:type="dxa"/>
              <w:left w:w="36" w:type="dxa"/>
              <w:bottom w:w="0" w:type="dxa"/>
              <w:right w:w="36" w:type="dxa"/>
            </w:tcMar>
          </w:tcPr>
          <w:p>
            <w:pPr>
              <w:jc w:val="center"/>
            </w:pPr>
            <w:r>
              <w:rPr>
                <w:rFonts w:ascii="Times New Roman" w:hAnsi="Times New Roman"/>
                <w:b w:val="0"/>
                <w:sz w:val="13"/>
              </w:rPr>
            </w:r>
          </w:p>
        </w:tc>
        <w:tc>
          <w:tcPr>
            <w:tcW w:w="1000" w:type="dxa"/>
            <w:vAlign w:val="center"/>
            <w:tcMar>
              <w:top w:w="0" w:type="dxa"/>
              <w:left w:w="36" w:type="dxa"/>
              <w:bottom w:w="0" w:type="dxa"/>
              <w:right w:w="36" w:type="dxa"/>
            </w:tcMar>
          </w:tcPr>
          <w:p>
            <w:pPr>
              <w:jc w:val="center"/>
            </w:pPr>
            <w:r>
              <w:rPr>
                <w:rFonts w:ascii="Times New Roman" w:hAnsi="Times New Roman"/>
                <w:b w:val="0"/>
                <w:sz w:val="13"/>
              </w:rPr>
            </w:r>
          </w:p>
        </w:tc>
        <w:tc>
          <w:tcPr>
            <w:tcW w:w="900" w:type="dxa"/>
            <w:vAlign w:val="center"/>
            <w:tcMar>
              <w:top w:w="0" w:type="dxa"/>
              <w:left w:w="36" w:type="dxa"/>
              <w:bottom w:w="0" w:type="dxa"/>
              <w:right w:w="36" w:type="dxa"/>
            </w:tcMar>
          </w:tcPr>
          <w:p>
            <w:pPr>
              <w:jc w:val="center"/>
            </w:pPr>
            <w:r>
              <w:rPr>
                <w:rFonts w:ascii="Times New Roman" w:hAnsi="Times New Roman"/>
                <w:b w:val="0"/>
                <w:sz w:val="13"/>
              </w:rPr>
            </w:r>
          </w:p>
        </w:tc>
      </w:tr>
      <w:tr w:rsidR="004F01D1" w14:paraId="5379C878"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Female</w:t>
            </w:r>
          </w:p>
        </w:tc>
        <w:tc>
          <w:tcPr>
            <w:tcW w:w="1100" w:type="dxa"/>
            <w:vAlign w:val="center"/>
            <w:tcMar>
              <w:top w:w="0" w:type="dxa"/>
              <w:left w:w="36" w:type="dxa"/>
              <w:bottom w:w="0" w:type="dxa"/>
              <w:right w:w="36" w:type="dxa"/>
            </w:tcMar>
          </w:tcPr>
          <w:p>
            <w:pPr>
              <w:jc w:val="center"/>
            </w:pPr>
            <w:r>
              <w:rPr>
                <w:rFonts w:ascii="Times New Roman" w:hAnsi="Times New Roman"/>
                <w:b w:val="0"/>
                <w:sz w:val="13"/>
              </w:rPr>
              <w:t>168,537</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0.6898</w:t>
            </w:r>
          </w:p>
        </w:tc>
        <w:tc>
          <w:tcPr>
            <w:tcW w:w="900" w:type="dxa"/>
            <w:vAlign w:val="center"/>
            <w:tcMar>
              <w:top w:w="0" w:type="dxa"/>
              <w:left w:w="36" w:type="dxa"/>
              <w:bottom w:w="0" w:type="dxa"/>
              <w:right w:w="36" w:type="dxa"/>
            </w:tcMar>
          </w:tcPr>
          <w:p>
            <w:pPr>
              <w:jc w:val="center"/>
            </w:pPr>
            <w:r>
              <w:rPr>
                <w:rFonts w:ascii="Times New Roman" w:hAnsi="Times New Roman"/>
                <w:b w:val="0"/>
                <w:sz w:val="13"/>
              </w:rPr>
              <w:t>0.3626</w:t>
            </w:r>
          </w:p>
        </w:tc>
      </w:tr>
      <w:tr w:rsidR="004F01D1" w14:paraId="05E17C26"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Male</w:t>
            </w:r>
          </w:p>
        </w:tc>
        <w:tc>
          <w:tcPr>
            <w:tcW w:w="1100" w:type="dxa"/>
            <w:vAlign w:val="center"/>
            <w:tcMar>
              <w:top w:w="0" w:type="dxa"/>
              <w:left w:w="36" w:type="dxa"/>
              <w:bottom w:w="0" w:type="dxa"/>
              <w:right w:w="36" w:type="dxa"/>
            </w:tcMar>
          </w:tcPr>
          <w:p>
            <w:pPr>
              <w:jc w:val="center"/>
            </w:pPr>
            <w:r>
              <w:rPr>
                <w:rFonts w:ascii="Times New Roman" w:hAnsi="Times New Roman"/>
                <w:b w:val="0"/>
                <w:sz w:val="13"/>
              </w:rPr>
              <w:t>176,447</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0.6930</w:t>
            </w:r>
          </w:p>
        </w:tc>
        <w:tc>
          <w:tcPr>
            <w:tcW w:w="900" w:type="dxa"/>
            <w:vAlign w:val="center"/>
            <w:tcMar>
              <w:top w:w="0" w:type="dxa"/>
              <w:left w:w="36" w:type="dxa"/>
              <w:bottom w:w="0" w:type="dxa"/>
              <w:right w:w="36" w:type="dxa"/>
            </w:tcMar>
          </w:tcPr>
          <w:p>
            <w:pPr>
              <w:jc w:val="center"/>
            </w:pPr>
            <w:r>
              <w:rPr>
                <w:rFonts w:ascii="Times New Roman" w:hAnsi="Times New Roman"/>
                <w:b w:val="0"/>
                <w:sz w:val="13"/>
              </w:rPr>
              <w:t>0.2831</w:t>
            </w:r>
          </w:p>
        </w:tc>
      </w:tr>
      <w:tr w:rsidR="004F01D1" w14:paraId="3C333E4E"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Natural region</w:t>
            </w:r>
          </w:p>
        </w:tc>
        <w:tc>
          <w:tcPr>
            <w:tcW w:w="1100" w:type="dxa"/>
            <w:vAlign w:val="center"/>
            <w:tcMar>
              <w:top w:w="0" w:type="dxa"/>
              <w:left w:w="36" w:type="dxa"/>
              <w:bottom w:w="0" w:type="dxa"/>
              <w:right w:w="36" w:type="dxa"/>
            </w:tcMar>
          </w:tcPr>
          <w:p>
            <w:pPr>
              <w:jc w:val="center"/>
            </w:pPr>
            <w:r>
              <w:rPr>
                <w:rFonts w:ascii="Times New Roman" w:hAnsi="Times New Roman"/>
                <w:b w:val="0"/>
                <w:sz w:val="13"/>
              </w:rPr>
            </w:r>
          </w:p>
        </w:tc>
        <w:tc>
          <w:tcPr>
            <w:tcW w:w="1000" w:type="dxa"/>
            <w:vAlign w:val="center"/>
            <w:tcMar>
              <w:top w:w="0" w:type="dxa"/>
              <w:left w:w="36" w:type="dxa"/>
              <w:bottom w:w="0" w:type="dxa"/>
              <w:right w:w="36" w:type="dxa"/>
            </w:tcMar>
          </w:tcPr>
          <w:p>
            <w:pPr>
              <w:jc w:val="center"/>
            </w:pPr>
            <w:r>
              <w:rPr>
                <w:rFonts w:ascii="Times New Roman" w:hAnsi="Times New Roman"/>
                <w:b w:val="0"/>
                <w:sz w:val="13"/>
              </w:rPr>
            </w:r>
          </w:p>
        </w:tc>
        <w:tc>
          <w:tcPr>
            <w:tcW w:w="900" w:type="dxa"/>
            <w:vAlign w:val="center"/>
            <w:tcMar>
              <w:top w:w="0" w:type="dxa"/>
              <w:left w:w="36" w:type="dxa"/>
              <w:bottom w:w="0" w:type="dxa"/>
              <w:right w:w="36" w:type="dxa"/>
            </w:tcMar>
          </w:tcPr>
          <w:p>
            <w:pPr>
              <w:jc w:val="center"/>
            </w:pPr>
            <w:r>
              <w:rPr>
                <w:rFonts w:ascii="Times New Roman" w:hAnsi="Times New Roman"/>
                <w:b w:val="0"/>
                <w:sz w:val="13"/>
              </w:rPr>
            </w:r>
          </w:p>
        </w:tc>
      </w:tr>
      <w:tr w:rsidR="004F01D1" w14:paraId="6EEFEA9D"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Coast</w:t>
            </w:r>
          </w:p>
        </w:tc>
        <w:tc>
          <w:tcPr>
            <w:tcW w:w="1100" w:type="dxa"/>
            <w:vAlign w:val="center"/>
            <w:tcMar>
              <w:top w:w="0" w:type="dxa"/>
              <w:left w:w="36" w:type="dxa"/>
              <w:bottom w:w="0" w:type="dxa"/>
              <w:right w:w="36" w:type="dxa"/>
            </w:tcMar>
          </w:tcPr>
          <w:p>
            <w:pPr>
              <w:jc w:val="center"/>
            </w:pPr>
            <w:r>
              <w:rPr>
                <w:rFonts w:ascii="Times New Roman" w:hAnsi="Times New Roman"/>
                <w:b w:val="0"/>
                <w:sz w:val="13"/>
              </w:rPr>
              <w:t>192,778</w:t>
            </w:r>
          </w:p>
        </w:tc>
        <w:tc>
          <w:tcPr>
            <w:tcW w:w="1000" w:type="dxa"/>
            <w:vAlign w:val="center"/>
            <w:tcMar>
              <w:top w:w="0" w:type="dxa"/>
              <w:left w:w="36" w:type="dxa"/>
              <w:bottom w:w="0" w:type="dxa"/>
              <w:right w:w="36" w:type="dxa"/>
            </w:tcMar>
          </w:tcPr>
          <w:p>
            <w:pPr>
              <w:jc w:val="center"/>
            </w:pPr>
            <w:r>
              <w:rPr>
                <w:rFonts w:ascii="Times New Roman" w:hAnsi="Times New Roman"/>
                <w:b w:val="0"/>
                <w:sz w:val="13"/>
              </w:rPr>
              <w:t>0.7008</w:t>
            </w:r>
          </w:p>
        </w:tc>
        <w:tc>
          <w:tcPr>
            <w:tcW w:w="900" w:type="dxa"/>
            <w:vAlign w:val="center"/>
            <w:tcMar>
              <w:top w:w="0" w:type="dxa"/>
              <w:left w:w="36" w:type="dxa"/>
              <w:bottom w:w="0" w:type="dxa"/>
              <w:right w:w="36" w:type="dxa"/>
            </w:tcMar>
          </w:tcPr>
          <w:p>
            <w:pPr>
              <w:jc w:val="center"/>
            </w:pPr>
            <w:r>
              <w:rPr>
                <w:rFonts w:ascii="Times New Roman" w:hAnsi="Times New Roman"/>
                <w:b w:val="0"/>
                <w:sz w:val="13"/>
              </w:rPr>
              <w:t>0.3209</w:t>
            </w:r>
          </w:p>
        </w:tc>
      </w:tr>
      <w:tr w:rsidR="004F01D1" w14:paraId="7B563C8C"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Highlands</w:t>
            </w:r>
          </w:p>
        </w:tc>
        <w:tc>
          <w:tcPr>
            <w:tcW w:w="1100" w:type="dxa"/>
            <w:vAlign w:val="center"/>
            <w:tcMar>
              <w:top w:w="0" w:type="dxa"/>
              <w:left w:w="36" w:type="dxa"/>
              <w:bottom w:w="0" w:type="dxa"/>
              <w:right w:w="36" w:type="dxa"/>
            </w:tcMar>
          </w:tcPr>
          <w:p>
            <w:pPr>
              <w:jc w:val="center"/>
            </w:pPr>
            <w:r>
              <w:rPr>
                <w:rFonts w:ascii="Times New Roman" w:hAnsi="Times New Roman"/>
                <w:b w:val="0"/>
                <w:sz w:val="13"/>
              </w:rPr>
              <w:t>88,943</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0.6964</w:t>
            </w:r>
          </w:p>
        </w:tc>
        <w:tc>
          <w:tcPr>
            <w:tcW w:w="900" w:type="dxa"/>
            <w:vAlign w:val="center"/>
            <w:tcMar>
              <w:top w:w="0" w:type="dxa"/>
              <w:left w:w="36" w:type="dxa"/>
              <w:bottom w:w="0" w:type="dxa"/>
              <w:right w:w="36" w:type="dxa"/>
            </w:tcMar>
          </w:tcPr>
          <w:p>
            <w:pPr>
              <w:jc w:val="center"/>
            </w:pPr>
            <w:r>
              <w:rPr>
                <w:rFonts w:ascii="Times New Roman" w:hAnsi="Times New Roman"/>
                <w:b w:val="0"/>
                <w:sz w:val="13"/>
              </w:rPr>
              <w:t>0.3257</w:t>
            </w:r>
          </w:p>
        </w:tc>
      </w:tr>
      <w:tr w:rsidR="004F01D1" w14:paraId="32ED0EEC"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Jungle</w:t>
            </w:r>
          </w:p>
        </w:tc>
        <w:tc>
          <w:tcPr>
            <w:tcW w:w="1100" w:type="dxa"/>
            <w:vAlign w:val="center"/>
            <w:tcMar>
              <w:top w:w="0" w:type="dxa"/>
              <w:left w:w="36" w:type="dxa"/>
              <w:bottom w:w="0" w:type="dxa"/>
              <w:right w:w="36" w:type="dxa"/>
            </w:tcMar>
          </w:tcPr>
          <w:p>
            <w:pPr>
              <w:jc w:val="center"/>
            </w:pPr>
            <w:r>
              <w:rPr>
                <w:rFonts w:ascii="Times New Roman" w:hAnsi="Times New Roman"/>
                <w:b w:val="0"/>
                <w:sz w:val="13"/>
              </w:rPr>
              <w:t>43,490</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0.6696</w:t>
            </w:r>
          </w:p>
        </w:tc>
        <w:tc>
          <w:tcPr>
            <w:tcW w:w="900" w:type="dxa"/>
            <w:vAlign w:val="center"/>
            <w:tcMar>
              <w:top w:w="0" w:type="dxa"/>
              <w:left w:w="36" w:type="dxa"/>
              <w:bottom w:w="0" w:type="dxa"/>
              <w:right w:w="36" w:type="dxa"/>
            </w:tcMar>
          </w:tcPr>
          <w:p>
            <w:pPr>
              <w:jc w:val="center"/>
            </w:pPr>
            <w:r>
              <w:rPr>
                <w:rFonts w:ascii="Times New Roman" w:hAnsi="Times New Roman"/>
                <w:b w:val="0"/>
                <w:sz w:val="13"/>
              </w:rPr>
              <w:t>0.3352</w:t>
            </w:r>
          </w:p>
        </w:tc>
      </w:tr>
      <w:tr w:rsidR="004F01D1" w14:paraId="31790CD7"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Highlands–Jungle</w:t>
            </w:r>
          </w:p>
        </w:tc>
        <w:tc>
          <w:tcPr>
            <w:tcW w:w="1100" w:type="dxa"/>
            <w:vAlign w:val="center"/>
            <w:tcMar>
              <w:top w:w="0" w:type="dxa"/>
              <w:left w:w="36" w:type="dxa"/>
              <w:bottom w:w="0" w:type="dxa"/>
              <w:right w:w="36" w:type="dxa"/>
            </w:tcMar>
          </w:tcPr>
          <w:p>
            <w:pPr>
              <w:jc w:val="center"/>
            </w:pPr>
            <w:r>
              <w:rPr>
                <w:rFonts w:ascii="Times New Roman" w:hAnsi="Times New Roman"/>
                <w:b w:val="0"/>
                <w:sz w:val="13"/>
              </w:rPr>
              <w:t>18,970</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0.6787</w:t>
            </w:r>
          </w:p>
        </w:tc>
        <w:tc>
          <w:tcPr>
            <w:tcW w:w="900" w:type="dxa"/>
            <w:vAlign w:val="center"/>
            <w:tcMar>
              <w:top w:w="0" w:type="dxa"/>
              <w:left w:w="36" w:type="dxa"/>
              <w:bottom w:w="0" w:type="dxa"/>
              <w:right w:w="36" w:type="dxa"/>
            </w:tcMar>
          </w:tcPr>
          <w:p>
            <w:pPr>
              <w:jc w:val="center"/>
            </w:pPr>
            <w:r>
              <w:rPr>
                <w:rFonts w:ascii="Times New Roman" w:hAnsi="Times New Roman"/>
                <w:b w:val="0"/>
                <w:sz w:val="13"/>
              </w:rPr>
              <w:t>0.3170</w:t>
            </w:r>
          </w:p>
        </w:tc>
      </w:tr>
      <w:tr w:rsidR="004F01D1" w14:paraId="7F86E4DA"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Missing</w:t>
            </w:r>
          </w:p>
        </w:tc>
        <w:tc>
          <w:tcPr>
            <w:tcW w:w="1100" w:type="dxa"/>
            <w:vAlign w:val="center"/>
            <w:tcMar>
              <w:top w:w="0" w:type="dxa"/>
              <w:left w:w="36" w:type="dxa"/>
              <w:bottom w:w="0" w:type="dxa"/>
              <w:right w:w="36" w:type="dxa"/>
            </w:tcMar>
          </w:tcPr>
          <w:p>
            <w:pPr>
              <w:jc w:val="center"/>
            </w:pPr>
            <w:r>
              <w:rPr>
                <w:rFonts w:ascii="Times New Roman" w:hAnsi="Times New Roman"/>
                <w:b w:val="0"/>
                <w:sz w:val="13"/>
              </w:rPr>
              <w:t>839</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0.6910</w:t>
            </w:r>
          </w:p>
        </w:tc>
        <w:tc>
          <w:tcPr>
            <w:tcW w:w="900" w:type="dxa"/>
            <w:vAlign w:val="center"/>
            <w:tcMar>
              <w:top w:w="0" w:type="dxa"/>
              <w:left w:w="36" w:type="dxa"/>
              <w:bottom w:w="0" w:type="dxa"/>
              <w:right w:w="36" w:type="dxa"/>
            </w:tcMar>
          </w:tcPr>
          <w:p>
            <w:pPr>
              <w:jc w:val="center"/>
            </w:pPr>
            <w:r>
              <w:rPr>
                <w:rFonts w:ascii="Times New Roman" w:hAnsi="Times New Roman"/>
                <w:b w:val="0"/>
                <w:sz w:val="13"/>
              </w:rPr>
              <w:t>0.4038</w:t>
            </w:r>
          </w:p>
        </w:tc>
      </w:tr>
      <w:tr w:rsidR="004F01D1" w14:paraId="2587D08C"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Maternal age</w:t>
            </w:r>
          </w:p>
        </w:tc>
        <w:tc>
          <w:tcPr>
            <w:tcW w:w="1100" w:type="dxa"/>
            <w:vAlign w:val="center"/>
            <w:tcMar>
              <w:top w:w="0" w:type="dxa"/>
              <w:left w:w="36" w:type="dxa"/>
              <w:bottom w:w="0" w:type="dxa"/>
              <w:right w:w="36" w:type="dxa"/>
            </w:tcMar>
          </w:tcPr>
          <w:p>
            <w:pPr>
              <w:jc w:val="center"/>
            </w:pPr>
            <w:r>
              <w:rPr>
                <w:rFonts w:ascii="Times New Roman" w:hAnsi="Times New Roman"/>
                <w:b w:val="0"/>
                <w:sz w:val="13"/>
              </w:rPr>
            </w:r>
          </w:p>
        </w:tc>
        <w:tc>
          <w:tcPr>
            <w:tcW w:w="1000" w:type="dxa"/>
            <w:vAlign w:val="center"/>
            <w:tcMar>
              <w:top w:w="0" w:type="dxa"/>
              <w:left w:w="36" w:type="dxa"/>
              <w:bottom w:w="0" w:type="dxa"/>
              <w:right w:w="36" w:type="dxa"/>
            </w:tcMar>
          </w:tcPr>
          <w:p>
            <w:pPr>
              <w:jc w:val="center"/>
            </w:pPr>
            <w:r>
              <w:rPr>
                <w:rFonts w:ascii="Times New Roman" w:hAnsi="Times New Roman"/>
                <w:b w:val="0"/>
                <w:sz w:val="13"/>
              </w:rPr>
            </w:r>
          </w:p>
        </w:tc>
        <w:tc>
          <w:tcPr>
            <w:tcW w:w="900" w:type="dxa"/>
            <w:vAlign w:val="center"/>
            <w:tcMar>
              <w:top w:w="0" w:type="dxa"/>
              <w:left w:w="36" w:type="dxa"/>
              <w:bottom w:w="0" w:type="dxa"/>
              <w:right w:w="36" w:type="dxa"/>
            </w:tcMar>
          </w:tcPr>
          <w:p>
            <w:pPr>
              <w:jc w:val="center"/>
            </w:pPr>
            <w:r>
              <w:rPr>
                <w:rFonts w:ascii="Times New Roman" w:hAnsi="Times New Roman"/>
                <w:b w:val="0"/>
                <w:sz w:val="13"/>
              </w:rPr>
            </w:r>
          </w:p>
        </w:tc>
      </w:tr>
      <w:tr w:rsidR="004F01D1" w14:paraId="3106436E"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≤14 years</w:t>
            </w:r>
          </w:p>
        </w:tc>
        <w:tc>
          <w:tcPr>
            <w:tcW w:w="1100" w:type="dxa"/>
            <w:vAlign w:val="center"/>
            <w:tcMar>
              <w:top w:w="0" w:type="dxa"/>
              <w:left w:w="36" w:type="dxa"/>
              <w:bottom w:w="0" w:type="dxa"/>
              <w:right w:w="36" w:type="dxa"/>
            </w:tcMar>
          </w:tcPr>
          <w:p>
            <w:pPr>
              <w:jc w:val="center"/>
            </w:pPr>
            <w:r>
              <w:rPr>
                <w:rFonts w:ascii="Times New Roman" w:hAnsi="Times New Roman"/>
                <w:b w:val="0"/>
                <w:sz w:val="13"/>
              </w:rPr>
              <w:t>851</w:t>
            </w:r>
          </w:p>
        </w:tc>
        <w:tc>
          <w:tcPr>
            <w:tcW w:w="1000" w:type="dxa"/>
            <w:vAlign w:val="center"/>
            <w:tcMar>
              <w:top w:w="0" w:type="dxa"/>
              <w:left w:w="36" w:type="dxa"/>
              <w:bottom w:w="0" w:type="dxa"/>
              <w:right w:w="36" w:type="dxa"/>
            </w:tcMar>
          </w:tcPr>
          <w:p>
            <w:pPr>
              <w:jc w:val="center"/>
            </w:pPr>
            <w:r>
              <w:rPr>
                <w:rFonts w:ascii="Times New Roman" w:hAnsi="Times New Roman"/>
                <w:b w:val="0"/>
                <w:sz w:val="13"/>
              </w:rPr>
              <w:t>0.4971</w:t>
            </w:r>
          </w:p>
        </w:tc>
        <w:tc>
          <w:tcPr>
            <w:tcW w:w="900" w:type="dxa"/>
            <w:vAlign w:val="center"/>
            <w:tcMar>
              <w:top w:w="0" w:type="dxa"/>
              <w:left w:w="36" w:type="dxa"/>
              <w:bottom w:w="0" w:type="dxa"/>
              <w:right w:w="36" w:type="dxa"/>
            </w:tcMar>
          </w:tcPr>
          <w:p>
            <w:pPr>
              <w:jc w:val="center"/>
            </w:pPr>
            <w:r>
              <w:rPr>
                <w:rFonts w:ascii="Times New Roman" w:hAnsi="Times New Roman"/>
                <w:b w:val="0"/>
                <w:sz w:val="13"/>
              </w:rPr>
              <w:t>0.6769</w:t>
            </w:r>
          </w:p>
        </w:tc>
      </w:tr>
      <w:tr w:rsidR="004F01D1" w14:paraId="2788CF2E"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15–19 years</w:t>
            </w:r>
          </w:p>
        </w:tc>
        <w:tc>
          <w:tcPr>
            <w:tcW w:w="1100" w:type="dxa"/>
            <w:vAlign w:val="center"/>
            <w:tcMar>
              <w:top w:w="0" w:type="dxa"/>
              <w:left w:w="36" w:type="dxa"/>
              <w:bottom w:w="0" w:type="dxa"/>
              <w:right w:w="36" w:type="dxa"/>
            </w:tcMar>
          </w:tcPr>
          <w:p>
            <w:pPr>
              <w:jc w:val="center"/>
            </w:pPr>
            <w:r>
              <w:rPr>
                <w:rFonts w:ascii="Times New Roman" w:hAnsi="Times New Roman"/>
                <w:b w:val="0"/>
                <w:sz w:val="13"/>
              </w:rPr>
              <w:t>33,291</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0.6335</w:t>
            </w:r>
          </w:p>
        </w:tc>
        <w:tc>
          <w:tcPr>
            <w:tcW w:w="900" w:type="dxa"/>
            <w:vAlign w:val="center"/>
            <w:tcMar>
              <w:top w:w="0" w:type="dxa"/>
              <w:left w:w="36" w:type="dxa"/>
              <w:bottom w:w="0" w:type="dxa"/>
              <w:right w:w="36" w:type="dxa"/>
            </w:tcMar>
          </w:tcPr>
          <w:p>
            <w:pPr>
              <w:jc w:val="center"/>
            </w:pPr>
            <w:r>
              <w:rPr>
                <w:rFonts w:ascii="Times New Roman" w:hAnsi="Times New Roman"/>
                <w:b w:val="0"/>
                <w:sz w:val="13"/>
              </w:rPr>
              <w:t>0.4731</w:t>
            </w:r>
          </w:p>
        </w:tc>
      </w:tr>
      <w:tr w:rsidR="004F01D1" w14:paraId="27E76B28"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20–34 years</w:t>
            </w:r>
          </w:p>
        </w:tc>
        <w:tc>
          <w:tcPr>
            <w:tcW w:w="1100" w:type="dxa"/>
            <w:vAlign w:val="center"/>
            <w:tcMar>
              <w:top w:w="0" w:type="dxa"/>
              <w:left w:w="36" w:type="dxa"/>
              <w:bottom w:w="0" w:type="dxa"/>
              <w:right w:w="36" w:type="dxa"/>
            </w:tcMar>
          </w:tcPr>
          <w:p>
            <w:pPr>
              <w:jc w:val="center"/>
            </w:pPr>
            <w:r>
              <w:rPr>
                <w:rFonts w:ascii="Times New Roman" w:hAnsi="Times New Roman"/>
                <w:b w:val="0"/>
                <w:sz w:val="13"/>
              </w:rPr>
              <w:t>227,206</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0.6902</w:t>
            </w:r>
          </w:p>
        </w:tc>
        <w:tc>
          <w:tcPr>
            <w:tcW w:w="900" w:type="dxa"/>
            <w:vAlign w:val="center"/>
            <w:tcMar>
              <w:top w:w="0" w:type="dxa"/>
              <w:left w:w="36" w:type="dxa"/>
              <w:bottom w:w="0" w:type="dxa"/>
              <w:right w:w="36" w:type="dxa"/>
            </w:tcMar>
          </w:tcPr>
          <w:p>
            <w:pPr>
              <w:jc w:val="center"/>
            </w:pPr>
            <w:r>
              <w:rPr>
                <w:rFonts w:ascii="Times New Roman" w:hAnsi="Times New Roman"/>
                <w:b w:val="0"/>
                <w:sz w:val="13"/>
              </w:rPr>
              <w:t>0.2155</w:t>
            </w:r>
          </w:p>
        </w:tc>
      </w:tr>
      <w:tr w:rsidR="004F01D1" w14:paraId="03859AC0" w14:textId="77777777" w:rsidTr="004F01D1">
        <w:tc>
          <w:tcPr>
            <w:tcW w:w="1300" w:type="dxa"/>
            <w:vAlign w:val="center"/>
            <w:tcMar>
              <w:top w:w="0" w:type="dxa"/>
              <w:left w:w="36" w:type="dxa"/>
              <w:bottom w:w="0" w:type="dxa"/>
              <w:right w:w="36" w:type="dxa"/>
            </w:tcMar>
          </w:tcPr>
          <w:p>
            <w:pPr>
              <w:jc w:val="left"/>
            </w:pPr>
            <w:r>
              <w:rPr>
                <w:rFonts w:ascii="Times New Roman" w:hAnsi="Times New Roman"/>
                <w:b w:val="0"/>
                <w:sz w:val="13"/>
              </w:rPr>
              <w:t>≥35 years</w:t>
            </w:r>
          </w:p>
        </w:tc>
        <w:tc>
          <w:tcPr>
            <w:tcW w:w="1100" w:type="dxa"/>
            <w:vAlign w:val="center"/>
            <w:tcMar>
              <w:top w:w="0" w:type="dxa"/>
              <w:left w:w="36" w:type="dxa"/>
              <w:bottom w:w="0" w:type="dxa"/>
              <w:right w:w="36" w:type="dxa"/>
            </w:tcMar>
          </w:tcPr>
          <w:p>
            <w:pPr>
              <w:jc w:val="center"/>
            </w:pPr>
            <w:r>
              <w:rPr>
                <w:rFonts w:ascii="Times New Roman" w:hAnsi="Times New Roman"/>
                <w:b w:val="0"/>
                <w:sz w:val="13"/>
              </w:rPr>
              <w:t>83,672</w:t>
            </w:r>
          </w:p>
        </w:tc>
        <w:tc>
          <w:tcPr>
            <w:tcW w:w="1000" w:type="dxa"/>
            <w:vAlign w:val="center"/>
            <w:tcMar>
              <w:top w:w="0" w:type="dxa"/>
              <w:left w:w="36" w:type="dxa"/>
              <w:bottom w:w="0" w:type="dxa"/>
              <w:right w:w="36" w:type="dxa"/>
            </w:tcMar>
          </w:tcPr>
          <w:p>
            <w:pPr>
              <w:jc w:val="center"/>
            </w:pPr>
            <w:r>
              <w:rPr>
                <w:rFonts w:ascii="Times New Roman" w:hAnsi="Times New Roman"/>
                <w:b w:val="0"/>
                <w:sz w:val="13"/>
              </w:rPr>
              <w:t>0.6951</w:t>
            </w:r>
          </w:p>
        </w:tc>
        <w:tc>
          <w:tcPr>
            <w:tcW w:w="900" w:type="dxa"/>
            <w:vAlign w:val="center"/>
            <w:tcMar>
              <w:top w:w="0" w:type="dxa"/>
              <w:left w:w="36" w:type="dxa"/>
              <w:bottom w:w="0" w:type="dxa"/>
              <w:right w:w="36" w:type="dxa"/>
            </w:tcMar>
          </w:tcPr>
          <w:p>
            <w:pPr>
              <w:jc w:val="center"/>
            </w:pPr>
            <w:r>
              <w:rPr>
                <w:rFonts w:ascii="Times New Roman" w:hAnsi="Times New Roman"/>
                <w:b w:val="0"/>
                <w:sz w:val="13"/>
              </w:rPr>
              <w:t>0.4765</w:t>
            </w:r>
          </w:p>
        </w:tc>
      </w:tr>
    </w:tbl>
    <w:p w14:paraId="378E6528" w14:textId="77777777" w:rsidR="004F01D1" w:rsidRDefault="00000000">
      <w:pPr>
        <w:pStyle w:val="NotaTabla"/>
      </w:pPr>
      <w:r>
        <w:rPr>
          <w:b/>
          <w:bCs/>
        </w:rPr>
        <w:lastRenderedPageBreak/>
        <w:t>Note:</w:t>
      </w:r>
      <w:r>
        <w:t xml:space="preserve"> FPR = False Positive Rate. The sum of the Sex subgroup categories (n = 344,984) differs from the total number of observations in the test set (n = 345,020) by 36 records, corresponding to a category with fewer than 200 observations that was excluded according to the minimum sample size threshold established for the fairness analysis.</w:t>
      </w:r>
    </w:p>
    <w:p w14:paraId="6CCB8C37" w14:textId="77777777" w:rsidR="004F01D1" w:rsidRDefault="00000000">
      <w:pPr>
        <w:pStyle w:val="Ttulo2"/>
        <w:rPr>
          <w:lang w:eastAsia="en-US"/>
        </w:rPr>
      </w:pPr>
      <w:r>
        <w:rPr>
          <w:lang w:eastAsia="en-US"/>
        </w:rPr>
        <w:t>H. Temporal Stability and Data Drift</w:t>
      </w:r>
    </w:p>
    <w:p w14:paraId="57CF0E45" w14:textId="77777777" w:rsidR="004F01D1" w:rsidRDefault="00000000">
      <w:pPr>
        <w:rPr>
          <w:lang w:eastAsia="en-US"/>
        </w:rPr>
      </w:pPr>
      <w:r>
        <w:rPr>
          <w:lang w:eastAsia="en-US"/>
        </w:rPr>
        <w:t>The prevalence of low birth weight remained stable throughout the study period, while most obstetric variables exhibited minimal drift across years. Maternal age showed the greatest temporal variation (maximum PSI = 0.061); however, this value remained below the threshold commonly associated with meaningful changes in data distribution. Overall, these findings support the temporal stability of the cohort and suggest that data drift had a limited impact on model performance.</w:t>
      </w:r>
    </w:p>
    <w:p w14:paraId="3D63434F" w14:textId="77777777" w:rsidR="004F01D1" w:rsidRDefault="00000000">
      <w:pPr>
        <w:pStyle w:val="Ttulo2"/>
        <w:rPr>
          <w:lang w:eastAsia="en-US"/>
        </w:rPr>
      </w:pPr>
      <w:r>
        <w:rPr>
          <w:lang w:eastAsia="en-US"/>
        </w:rPr>
        <w:t>I. Robustness</w:t>
      </w:r>
    </w:p>
    <w:p w14:paraId="241A0A2A" w14:textId="77777777" w:rsidR="004F01D1" w:rsidRDefault="00000000">
      <w:pPr>
        <w:rPr>
          <w:lang w:eastAsia="en-US"/>
        </w:rPr>
      </w:pPr>
      <w:r>
        <w:rPr>
          <w:lang w:eastAsia="en-US"/>
        </w:rPr>
        <w:t>Table IX shows that missingness caused the largest decline in ROC-AUC (−0.0318 at the 0.30 level), followed by Gaussian noise (−0.0152) and the reported low-magnitude perturbation (−0.0015). These are descriptive stress tests on the same 2025 holdout.</w:t>
      </w:r>
    </w:p>
    <w:p w14:paraId="1604A648" w14:textId="77777777" w:rsidR="004F01D1" w:rsidRDefault="00000000">
      <w:pPr>
        <w:pStyle w:val="TableCaption"/>
        <w:rPr>
          <w:lang w:eastAsia="en-US"/>
        </w:rPr>
      </w:pPr>
      <w:r>
        <w:rPr>
          <w:lang w:eastAsia="en-US"/>
        </w:rPr>
        <w:t>Table IX. HistGradientBoosting Robustness Under Perturbation</w:t>
      </w:r>
    </w:p>
    <w:tbl>
      <w:tblPr>
        <w:tblStyle w:val="Estilo1"/>
        <w:tblLook w:val="04A0" w:firstRow="1" w:lastRow="0" w:firstColumn="1" w:lastColumn="0" w:noHBand="0" w:noVBand="1"/>
        <w:tblW w:w="4300" w:type="dxa"/>
        <w:tblInd w:w="0" w:type="dxa"/>
        <w:tblLayout w:type="fixed"/>
      </w:tblPr>
      <w:tblGrid>
        <w:gridCol w:w="1450"/>
        <w:gridCol w:w="950"/>
        <w:gridCol w:w="950"/>
        <w:gridCol w:w="950"/>
      </w:tblGrid>
      <w:tr w:rsidR="004F01D1" w14:paraId="0F064122" w14:textId="77777777" w:rsidTr="004F01D1">
        <w:trPr>
          <w:cnfStyle w:val="100000000000" w:firstRow="1" w:lastRow="0" w:firstColumn="0" w:lastColumn="0" w:oddVBand="0" w:evenVBand="0" w:oddHBand="0" w:evenHBand="0" w:firstRowFirstColumn="0" w:firstRowLastColumn="0" w:lastRowFirstColumn="0" w:lastRowLastColumn="0"/>
          <w:tblHeader/>
        </w:trPr>
        <w:tc>
          <w:tcPr>
            <w:tcW w:w="1450" w:type="dxa"/>
            <w:tcBorders>
              <w:bottom w:val="single" w:sz="4" w:space="0" w:color="000000"/>
            </w:tcBorders>
            <w:tcMar>
              <w:top w:w="0" w:type="dxa"/>
              <w:left w:w="36" w:type="dxa"/>
              <w:bottom w:w="0" w:type="dxa"/>
              <w:right w:w="36" w:type="dxa"/>
            </w:tcMar>
            <w:vAlign w:val="center"/>
          </w:tcPr>
          <w:p w14:paraId="4B6BD466" w14:textId="77777777" w:rsidR="004F01D1" w:rsidRDefault="00000000">
            <w:pPr>
              <w:spacing w:before="36" w:after="36"/>
              <w:ind w:firstLine="0"/>
              <w:jc w:val="left"/>
              <w:textAlignment w:val="auto"/>
              <w:rPr>
                <w:bCs/>
                <w:sz w:val="16"/>
                <w:szCs w:val="16"/>
                <w:lang w:eastAsia="en-US"/>
              </w:rPr>
            </w:pPr>
            <w:r>
              <w:rPr>
                <w:rFonts w:ascii="Times New Roman" w:hAnsi="Times New Roman"/>
                <w:b/>
                <w:sz w:val="14"/>
                <w:szCs w:val="16"/>
              </w:rPr>
              <w:t>Perturbation Type</w:t>
            </w:r>
          </w:p>
        </w:tc>
        <w:tc>
          <w:tcPr>
            <w:tcW w:w="950" w:type="dxa"/>
            <w:tcBorders>
              <w:bottom w:val="single" w:sz="4" w:space="0" w:color="000000"/>
            </w:tcBorders>
            <w:tcMar>
              <w:top w:w="0" w:type="dxa"/>
              <w:left w:w="36" w:type="dxa"/>
              <w:bottom w:w="0" w:type="dxa"/>
              <w:right w:w="36" w:type="dxa"/>
            </w:tcMar>
            <w:vAlign w:val="center"/>
          </w:tcPr>
          <w:p w14:paraId="02C02865" w14:textId="77777777" w:rsidR="004F01D1" w:rsidRDefault="00000000">
            <w:pPr>
              <w:spacing w:before="36" w:after="36"/>
              <w:ind w:firstLine="0"/>
              <w:jc w:val="center"/>
              <w:textAlignment w:val="auto"/>
              <w:rPr>
                <w:bCs/>
                <w:sz w:val="16"/>
                <w:szCs w:val="16"/>
                <w:lang w:eastAsia="en-US"/>
              </w:rPr>
            </w:pPr>
            <w:r>
              <w:rPr>
                <w:rFonts w:ascii="Times New Roman" w:hAnsi="Times New Roman"/>
                <w:b/>
                <w:sz w:val="14"/>
                <w:szCs w:val="16"/>
              </w:rPr>
              <w:t>Level 0.05</w:t>
            </w:r>
          </w:p>
        </w:tc>
        <w:tc>
          <w:tcPr>
            <w:tcW w:w="950" w:type="dxa"/>
            <w:tcBorders>
              <w:bottom w:val="single" w:sz="4" w:space="0" w:color="000000"/>
            </w:tcBorders>
            <w:tcMar>
              <w:top w:w="0" w:type="dxa"/>
              <w:left w:w="36" w:type="dxa"/>
              <w:bottom w:w="0" w:type="dxa"/>
              <w:right w:w="36" w:type="dxa"/>
            </w:tcMar>
            <w:vAlign w:val="center"/>
          </w:tcPr>
          <w:p w14:paraId="20DA6E47" w14:textId="77777777" w:rsidR="004F01D1" w:rsidRDefault="00000000">
            <w:pPr>
              <w:spacing w:before="36" w:after="36"/>
              <w:ind w:firstLine="0"/>
              <w:jc w:val="center"/>
              <w:textAlignment w:val="auto"/>
              <w:rPr>
                <w:bCs/>
                <w:sz w:val="16"/>
                <w:szCs w:val="16"/>
                <w:lang w:eastAsia="en-US"/>
              </w:rPr>
            </w:pPr>
            <w:r>
              <w:rPr>
                <w:rFonts w:ascii="Times New Roman" w:hAnsi="Times New Roman"/>
                <w:b/>
                <w:sz w:val="14"/>
                <w:szCs w:val="16"/>
              </w:rPr>
              <w:t>Level 0.15</w:t>
            </w:r>
          </w:p>
        </w:tc>
        <w:tc>
          <w:tcPr>
            <w:tcW w:w="950" w:type="dxa"/>
            <w:tcBorders>
              <w:bottom w:val="single" w:sz="4" w:space="0" w:color="000000"/>
            </w:tcBorders>
            <w:tcMar>
              <w:top w:w="0" w:type="dxa"/>
              <w:left w:w="36" w:type="dxa"/>
              <w:bottom w:w="0" w:type="dxa"/>
              <w:right w:w="36" w:type="dxa"/>
            </w:tcMar>
            <w:vAlign w:val="center"/>
          </w:tcPr>
          <w:p w14:paraId="76C56D7D" w14:textId="77777777" w:rsidR="004F01D1" w:rsidRDefault="00000000">
            <w:pPr>
              <w:spacing w:before="36" w:after="36"/>
              <w:ind w:firstLine="0"/>
              <w:jc w:val="center"/>
              <w:textAlignment w:val="auto"/>
              <w:rPr>
                <w:bCs/>
                <w:sz w:val="16"/>
                <w:szCs w:val="16"/>
                <w:lang w:eastAsia="en-US"/>
              </w:rPr>
            </w:pPr>
            <w:r>
              <w:rPr>
                <w:rFonts w:ascii="Times New Roman" w:hAnsi="Times New Roman"/>
                <w:b/>
                <w:sz w:val="14"/>
                <w:szCs w:val="16"/>
              </w:rPr>
              <w:t>Level 0.30</w:t>
            </w:r>
          </w:p>
        </w:tc>
      </w:tr>
      <w:tr w:rsidR="004F01D1" w14:paraId="2763594B" w14:textId="77777777" w:rsidTr="004F01D1">
        <w:tc>
          <w:tcPr>
            <w:tcW w:w="1450" w:type="dxa"/>
            <w:tcMar>
              <w:top w:w="0" w:type="dxa"/>
              <w:left w:w="36" w:type="dxa"/>
              <w:bottom w:w="0" w:type="dxa"/>
              <w:right w:w="36" w:type="dxa"/>
            </w:tcMar>
            <w:vAlign w:val="center"/>
          </w:tcPr>
          <w:p w14:paraId="7DFD7E67" w14:textId="77777777" w:rsidR="004F01D1" w:rsidRDefault="00000000">
            <w:pPr>
              <w:spacing w:before="36" w:after="36"/>
              <w:ind w:firstLine="0"/>
              <w:jc w:val="left"/>
              <w:textAlignment w:val="auto"/>
              <w:rPr>
                <w:sz w:val="16"/>
                <w:szCs w:val="16"/>
                <w:lang w:eastAsia="en-US"/>
              </w:rPr>
            </w:pPr>
            <w:r>
              <w:rPr>
                <w:rFonts w:ascii="Times New Roman" w:hAnsi="Times New Roman"/>
                <w:sz w:val="14"/>
                <w:szCs w:val="16"/>
              </w:rPr>
              <w:t>Gaussian noise</w:t>
            </w:r>
          </w:p>
        </w:tc>
        <w:tc>
          <w:tcPr>
            <w:tcW w:w="950" w:type="dxa"/>
            <w:tcMar>
              <w:top w:w="0" w:type="dxa"/>
              <w:left w:w="36" w:type="dxa"/>
              <w:bottom w:w="0" w:type="dxa"/>
              <w:right w:w="36" w:type="dxa"/>
            </w:tcMar>
            <w:vAlign w:val="center"/>
          </w:tcPr>
          <w:p w14:paraId="00E73972"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0.6924</w:t>
            </w:r>
          </w:p>
        </w:tc>
        <w:tc>
          <w:tcPr>
            <w:tcW w:w="950" w:type="dxa"/>
            <w:tcMar>
              <w:top w:w="0" w:type="dxa"/>
              <w:left w:w="36" w:type="dxa"/>
              <w:bottom w:w="0" w:type="dxa"/>
              <w:right w:w="36" w:type="dxa"/>
            </w:tcMar>
            <w:vAlign w:val="center"/>
          </w:tcPr>
          <w:p w14:paraId="41937FFD"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0.6911</w:t>
            </w:r>
          </w:p>
        </w:tc>
        <w:tc>
          <w:tcPr>
            <w:tcW w:w="950" w:type="dxa"/>
            <w:tcMar>
              <w:top w:w="0" w:type="dxa"/>
              <w:left w:w="36" w:type="dxa"/>
              <w:bottom w:w="0" w:type="dxa"/>
              <w:right w:w="36" w:type="dxa"/>
            </w:tcMar>
            <w:vAlign w:val="center"/>
          </w:tcPr>
          <w:p w14:paraId="52A1E1E1"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0.6772</w:t>
            </w:r>
          </w:p>
        </w:tc>
      </w:tr>
      <w:tr w:rsidR="004F01D1" w14:paraId="2FB7C3A5" w14:textId="77777777" w:rsidTr="004F01D1">
        <w:tc>
          <w:tcPr>
            <w:tcW w:w="1450" w:type="dxa"/>
            <w:tcMar>
              <w:top w:w="0" w:type="dxa"/>
              <w:left w:w="36" w:type="dxa"/>
              <w:bottom w:w="0" w:type="dxa"/>
              <w:right w:w="36" w:type="dxa"/>
            </w:tcMar>
            <w:vAlign w:val="center"/>
          </w:tcPr>
          <w:p w14:paraId="296562F2" w14:textId="77777777" w:rsidR="004F01D1" w:rsidRDefault="00000000">
            <w:pPr>
              <w:spacing w:before="36" w:after="36"/>
              <w:ind w:firstLine="0"/>
              <w:jc w:val="left"/>
              <w:textAlignment w:val="auto"/>
              <w:rPr>
                <w:sz w:val="16"/>
                <w:szCs w:val="16"/>
                <w:lang w:eastAsia="en-US"/>
              </w:rPr>
            </w:pPr>
            <w:r>
              <w:rPr>
                <w:rFonts w:ascii="Times New Roman" w:hAnsi="Times New Roman"/>
                <w:sz w:val="14"/>
                <w:szCs w:val="16"/>
              </w:rPr>
              <w:t>Missing data (MCAR)</w:t>
            </w:r>
          </w:p>
        </w:tc>
        <w:tc>
          <w:tcPr>
            <w:tcW w:w="950" w:type="dxa"/>
            <w:tcMar>
              <w:top w:w="0" w:type="dxa"/>
              <w:left w:w="36" w:type="dxa"/>
              <w:bottom w:w="0" w:type="dxa"/>
              <w:right w:w="36" w:type="dxa"/>
            </w:tcMar>
            <w:vAlign w:val="center"/>
          </w:tcPr>
          <w:p w14:paraId="3191A971"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0.6854</w:t>
            </w:r>
          </w:p>
        </w:tc>
        <w:tc>
          <w:tcPr>
            <w:tcW w:w="950" w:type="dxa"/>
            <w:tcMar>
              <w:top w:w="0" w:type="dxa"/>
              <w:left w:w="36" w:type="dxa"/>
              <w:bottom w:w="0" w:type="dxa"/>
              <w:right w:w="36" w:type="dxa"/>
            </w:tcMar>
            <w:vAlign w:val="center"/>
          </w:tcPr>
          <w:p w14:paraId="3C1E317D"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0.6733</w:t>
            </w:r>
          </w:p>
        </w:tc>
        <w:tc>
          <w:tcPr>
            <w:tcW w:w="950" w:type="dxa"/>
            <w:tcMar>
              <w:top w:w="0" w:type="dxa"/>
              <w:left w:w="36" w:type="dxa"/>
              <w:bottom w:w="0" w:type="dxa"/>
              <w:right w:w="36" w:type="dxa"/>
            </w:tcMar>
            <w:vAlign w:val="center"/>
          </w:tcPr>
          <w:p w14:paraId="6D5D4F4A"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0.6606</w:t>
            </w:r>
          </w:p>
        </w:tc>
      </w:tr>
      <w:tr w:rsidR="004F01D1" w14:paraId="282490CA" w14:textId="77777777" w:rsidTr="004F01D1">
        <w:tc>
          <w:tcPr>
            <w:tcW w:w="1450" w:type="dxa"/>
            <w:tcMar>
              <w:top w:w="0" w:type="dxa"/>
              <w:left w:w="36" w:type="dxa"/>
              <w:bottom w:w="0" w:type="dxa"/>
              <w:right w:w="36" w:type="dxa"/>
            </w:tcMar>
            <w:vAlign w:val="center"/>
          </w:tcPr>
          <w:p w14:paraId="37D94ADD" w14:textId="77777777" w:rsidR="004F01D1" w:rsidRDefault="00000000">
            <w:pPr>
              <w:spacing w:before="36" w:after="36"/>
              <w:ind w:firstLine="0"/>
              <w:jc w:val="left"/>
              <w:textAlignment w:val="auto"/>
              <w:rPr>
                <w:sz w:val="16"/>
                <w:szCs w:val="16"/>
                <w:lang w:eastAsia="en-US"/>
              </w:rPr>
            </w:pPr>
            <w:r>
              <w:rPr>
                <w:rFonts w:ascii="Times New Roman" w:hAnsi="Times New Roman"/>
                <w:sz w:val="14"/>
                <w:szCs w:val="16"/>
              </w:rPr>
              <w:t>Low-magnitude random perturbation</w:t>
            </w:r>
          </w:p>
        </w:tc>
        <w:tc>
          <w:tcPr>
            <w:tcW w:w="950" w:type="dxa"/>
            <w:tcMar>
              <w:top w:w="0" w:type="dxa"/>
              <w:left w:w="36" w:type="dxa"/>
              <w:bottom w:w="0" w:type="dxa"/>
              <w:right w:w="36" w:type="dxa"/>
            </w:tcMar>
            <w:vAlign w:val="center"/>
          </w:tcPr>
          <w:p w14:paraId="2619C36C"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0.6924</w:t>
            </w:r>
          </w:p>
        </w:tc>
        <w:tc>
          <w:tcPr>
            <w:tcW w:w="950" w:type="dxa"/>
            <w:tcMar>
              <w:top w:w="0" w:type="dxa"/>
              <w:left w:w="36" w:type="dxa"/>
              <w:bottom w:w="0" w:type="dxa"/>
              <w:right w:w="36" w:type="dxa"/>
            </w:tcMar>
            <w:vAlign w:val="center"/>
          </w:tcPr>
          <w:p w14:paraId="456AD67C"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0.6919</w:t>
            </w:r>
          </w:p>
        </w:tc>
        <w:tc>
          <w:tcPr>
            <w:tcW w:w="950" w:type="dxa"/>
            <w:tcMar>
              <w:top w:w="0" w:type="dxa"/>
              <w:left w:w="36" w:type="dxa"/>
              <w:bottom w:w="0" w:type="dxa"/>
              <w:right w:w="36" w:type="dxa"/>
            </w:tcMar>
            <w:vAlign w:val="center"/>
          </w:tcPr>
          <w:p w14:paraId="2EB31B21" w14:textId="77777777" w:rsidR="004F01D1" w:rsidRDefault="00000000">
            <w:pPr>
              <w:spacing w:before="36" w:after="36"/>
              <w:ind w:firstLine="0"/>
              <w:jc w:val="center"/>
              <w:textAlignment w:val="auto"/>
              <w:rPr>
                <w:sz w:val="16"/>
                <w:szCs w:val="16"/>
                <w:lang w:eastAsia="en-US"/>
              </w:rPr>
            </w:pPr>
            <w:r>
              <w:rPr>
                <w:rFonts w:ascii="Times New Roman" w:hAnsi="Times New Roman"/>
                <w:sz w:val="14"/>
                <w:szCs w:val="16"/>
              </w:rPr>
              <w:t>0.6909</w:t>
            </w:r>
          </w:p>
        </w:tc>
      </w:tr>
    </w:tbl>
    <w:p w14:paraId="1DD35A05" w14:textId="77777777" w:rsidR="004F01D1" w:rsidRDefault="00000000">
      <w:pPr>
        <w:pStyle w:val="NotaTabla"/>
      </w:pPr>
      <w:r>
        <w:t>Note: Values are ROC-AUC estimates after perturbing the 2025 temporal holdout. Because the same holdout supported multiple post hoc analyses, these stress tests are descriptive rather than independent validation results.</w:t>
      </w:r>
    </w:p>
    <w:p w14:paraId="503133FA" w14:textId="77777777" w:rsidR="004F01D1" w:rsidRDefault="00000000">
      <w:pPr>
        <w:pStyle w:val="Ttulo1"/>
      </w:pPr>
      <w:r>
        <w:t>V. DISCUSSION</w:t>
      </w:r>
    </w:p>
    <w:p w14:paraId="0AA3E693" w14:textId="77777777" w:rsidR="004F01D1" w:rsidRDefault="00000000">
      <w:pPr>
        <w:pStyle w:val="Ttulo2"/>
        <w:rPr>
          <w:lang w:eastAsia="en-US"/>
        </w:rPr>
      </w:pPr>
      <w:r>
        <w:rPr>
          <w:lang w:eastAsia="en-US"/>
        </w:rPr>
        <w:t>A. Why Is the ROC-AUC Approximately 0.69?</w:t>
      </w:r>
    </w:p>
    <w:p w14:paraId="4CD14654" w14:textId="77777777" w:rsidR="004F01D1" w:rsidRDefault="00000000">
      <w:pPr>
        <w:rPr>
          <w:lang w:eastAsia="en-US"/>
        </w:rPr>
      </w:pPr>
      <w:r>
        <w:rPr>
          <w:lang w:eastAsia="en-US"/>
        </w:rPr>
        <w:t>The 2025 ROC-AUC values are lower than many estimates reported in the LBW machine-learning literature [5]–[10]. The current study supports the value of temporal evaluation but does not establish a purely antenatal benchmark, because four retained inputs belong to the delivery context. Comparisons with studies using different prediction times, variables, and validation designs should therefore remain descriptive.</w:t>
      </w:r>
    </w:p>
    <w:p w14:paraId="1383F5CF" w14:textId="77777777" w:rsidR="004F01D1" w:rsidRDefault="00000000">
      <w:pPr>
        <w:pStyle w:val="Ttulo2"/>
        <w:rPr>
          <w:lang w:eastAsia="en-US"/>
        </w:rPr>
      </w:pPr>
      <w:r>
        <w:rPr>
          <w:lang w:eastAsia="en-US"/>
        </w:rPr>
        <w:t>B. What Does the Model Actually Learn?</w:t>
      </w:r>
    </w:p>
    <w:p w14:paraId="4879D240" w14:textId="77777777" w:rsidR="004F01D1" w:rsidRDefault="00000000">
      <w:pPr>
        <w:rPr>
          <w:lang w:eastAsia="en-US"/>
        </w:rPr>
      </w:pPr>
      <w:r>
        <w:rPr>
          <w:lang w:eastAsia="en-US"/>
        </w:rPr>
        <w:t>The strongest signals came from birth attendant, obstetric history, and delivery funding source. These variables may encode care pathways, access, referral, and institutional practice rather than maternal biological risk [33], [34]. Their influence also creates a temporal-availability problem for any early-prediction claim and may transport poorly to other health systems.</w:t>
      </w:r>
    </w:p>
    <w:p w14:paraId="0483C91B" w14:textId="77777777" w:rsidR="004F01D1" w:rsidRDefault="00000000">
      <w:pPr>
        <w:pStyle w:val="Ttulo2"/>
        <w:rPr>
          <w:lang w:eastAsia="en-US"/>
        </w:rPr>
      </w:pPr>
      <w:r>
        <w:rPr>
          <w:lang w:eastAsia="en-US"/>
        </w:rPr>
        <w:t>C. Fairness in Early Adolescent Mothers</w:t>
      </w:r>
    </w:p>
    <w:p w14:paraId="4EC6BAD8" w14:textId="77777777" w:rsidR="004F01D1" w:rsidRDefault="00000000">
      <w:pPr>
        <w:rPr>
          <w:lang w:eastAsia="en-US"/>
        </w:rPr>
      </w:pPr>
      <w:r>
        <w:rPr>
          <w:lang w:eastAsia="en-US"/>
        </w:rPr>
        <w:t xml:space="preserve">The most relevant fairness finding was the decline in ROC-AUC to 0.4971 among mothers aged 14 years or younger (n = 851), a performance indistinguishable from random chance and accompanied by a false positive rate (FPR) of 66.85%. Compared with the minimal ROC-AUC difference observed between sexes (0.0032) and the moderate difference across natural regions (0.0312), the disparity by maternal age reached 0.1980, while the adverse impact ratio between maternal age groups was 0.11—well below the conventional threshold of 0.80—confirming that the disparity extends beyond discrimination performance to the positive classification rate itself. Although the small subgroup size implies wide confidence intervals, the finding is supported by the clinical evidence: much of the risk attributed to early maternal age is mediated by socioeconomic disadvantage and reduced access to prenatal care rather than by biological immaturity </w:t>
      </w:r>
      <w:r>
        <w:fldChar w:fldCharType="begin"/>
      </w:r>
      <w:r>
        <w:rPr>
          <w:lang w:eastAsia="en-US"/>
        </w:rPr>
        <w:instrText>ADDIN ZOTERO_ITEM CSL_CITATION {"citationID":"uhuqBa2u","properties":{"unsorted":false,"formattedCitation":"[35], [36]","plainCitation":"[35], [36]","noteIndex":0},"citationItems":[{"id":147,"uris":["http://zotero.org/users/local/0z44BwR0/items/LXB93CRZ"],"itemData":{"id":147,"type":"article-journal","abstract":"Sexual activity during adolescence can lead to unwanted pregnancy, which in turn can result in serious maternal and fetal complications. The present study aimed to evaluate the complications related to adolescent pregnancy, through a systematic review using the Medical Subject Headings: “pregnancy complication” AND “adolescent” OR “pregnancy in adolescence”. Only full original articles in English or Portuguese with a clearly described methodology, were included. No qualitative studies, reviews or meta-analyses, editorials, case series, or case reports were included. The sample consisted of 15 articles; in that 10 were cross-sectional and 5 were cohort studies. The overall prevalence of adolescent pregnancy was 10%, and among the Brazilian studies, the adolescent pregnancy rate was 26%. The cesarean delivery rate was lower than that reported in the general population. The main maternal and neonatal complications were hypertensive disorders of pregnancy, prematurity and low birth weight, respectively. Adolescent pregnancy is related to increased frequency of neonatal and maternal complications and lower prevalence of cesarean delivery.\n          , \n            A atividade sexual na adolescência pode levar a uma gravidez indesejável que por sua vez pode trazer sérias complicações maternais e fetais. O presente estudo teve por objetivo avaliar as complicações relacionadas à gravidez na adolescência, por meio de uma revisão sistemática, utilizando como descritores do Medical Subject Headings: “pregnancy complication” AND “adolescent”OR “pregnancy in adolescence”. Foram considerados os artigos originais completos em inglês ou português, na íntegra, que apresentassem descrição clara da metodologia. Não foram incluídos estudos qualitativos, revisões ou metanálises, editoriais, série de casos e relatos de caso. A amostra foi constituída por 15 publicações, sendo 10 com delineamento transversal e 5 com delineamento coorte. A prevalência geral de gestação na adolescência foi de 10% e, entre os trabalhos nacionais, de 26%. A prevalência de parto cesárea foi menor que a descrita na população geral. As principais complicações maternas e neonatais de mães adolescentes foram doença hipertensiva específica da gestação, prematuridade e baixo peso ao nascer respectivamente. A gestação na adolescência se relacionou a maior frequência de complicações neonatais e maternas e à menor prevalência de parto cesariana.","container-title":"Einstein (São Paulo)","DOI":"10.1590/S1679-45082015RW3127","ISSN":"2317-6385, 1679-4508","issue":"4","journalAbbreviation":"Einstein (São Paulo)","page":"618-626","source":"DOI.org (Crossref)","title":"Complications in adolescent pregnancy: systematic review of the literature","title-short":"Complications in adolescent pregnancy","URL":"http://www.scielo.br/scielo.php?script=sci_arttext&amp;pid=S1679-45082015000400618&amp;lng=en&amp;tlng=en","volume":"13","author":[{"family":"Azevedo","given":"Walter Fernandes De"},{"family":"Diniz","given":"Michele Baffi"},{"family":"Fonseca","given":"Eduardo Sérgio Valério Borges Da"},{"family":"Azevedo","given":"Lícia Maria Ricarte De"},{"family":"Evangelista","given":"Carla Braz"}],"accessed":{"date-parts":[["2026",7,24]]},"issued":{"date-parts":[["2015",6,9]]}}},{"id":101,"uris":["http://zotero.org/users/local/0z44BwR0/items/B4T8DYU4"],"itemData":{"id":101,"type":"article-journal","abstract":"OBJECTIVE\nThe objective of this study was to evaluate whether adolescent pregnancy is a risk factor for low birth weight (LBW) babies.\n\n\nMETHODS\nThis was a cross-sectional study of mothers and their newborns from a birth cohort in Aracaju, Northeastern Brazil. Data were collected consecutively from March to July 2005. Information collected included socioeconomic, biological and reproductive aspects of the mothers, using a standardized questionnaire. The impact of early pregnancy on birth weight was evaluated by multiple logistic regression.\n\n\nRESULTS\nWe studied 4,746 pairs of mothers and their babies. Of these, 20.6% were adolescents (&lt; 20 years of age). Adolescent mothers had worse socioeconomic and reproductive conditions and perinatal outcomes when compared to other age groups. Having no prenatal care and smoking during pregnancy were the risk factors associated with low birth weight. Adolescent pregnancy, when linked to marital status \"without partner\", was associated with an increased proportion of low birth weight babies.\n\n\nCONCLUSIONS\nAdolescence was a risk factor for LBW only for mothers without partners. Smoking during pregnancy and lack of prenatal care were considered to be independent risk factors for LBW.","container-title":"Revista da Associação Médica Brasileira","DOI":"10.1590/S0034-89102013000100003","title":"Is Adolescent Pregnancy a Risk Factor for Low Birth Weight?","author":[{"family":"Gama Filho","given":"Eduardo B."},{"literal":"others"}],"issued":{"date-parts":[["2013"]]}}}],"schema":"https://github.com/citation-style-language/schema/raw/master/csl-citation.json"}</w:instrText>
      </w:r>
      <w:r>
        <w:rPr>
          <w:lang w:eastAsia="en-US"/>
        </w:rPr>
        <w:fldChar w:fldCharType="separate"/>
      </w:r>
      <w:r>
        <w:rPr>
          <w:lang w:eastAsia="en-US"/>
        </w:rPr>
        <w:t>[35], [36]</w:t>
      </w:r>
      <w:r>
        <w:rPr>
          <w:lang w:eastAsia="en-US"/>
        </w:rPr>
        <w:fldChar w:fldCharType="end"/>
      </w:r>
      <w:r>
        <w:rPr>
          <w:lang w:eastAsia="en-US"/>
        </w:rPr>
        <w:t xml:space="preserve">, and in Peru, poverty has been identified as the strongest determinant in this population according to the 2022 ENDES survey </w:t>
      </w:r>
      <w:r>
        <w:fldChar w:fldCharType="begin"/>
      </w:r>
      <w:r>
        <w:rPr>
          <w:lang w:eastAsia="en-US"/>
        </w:rPr>
        <w:instrText>ADDIN ZOTERO_ITEM CSL_CITATION {"citationID":"5rY0TZ8W","properties":{"unsorted":false,"formattedCitation":"[37]","plainCitation":"[37]","noteIndex":0},"citationItems":[{"id":102,"uris":["http://zotero.org/users/local/0z44BwR0/items/YDUM2LZB"],"itemData":{"id":102,"type":"article-journal","container-title":"Revista Internacional de Salud Materno Fetal","title":"Determinantes del Embarazo Adolescente en el Perú: Un Análisis Secundario de la Encuesta Demográfica y de Salud Familiar (ENDES) 2022","author":[{"family":"Montalván-Santillán","given":"José"},{"family":"Flores-Cortez","given":"Daniel"}],"issued":{"date-parts":[["2024"]]}}}],"schema":"https://github.com/citation-style-language/schema/raw/master/csl-citation.json"}</w:instrText>
      </w:r>
      <w:r>
        <w:rPr>
          <w:lang w:eastAsia="en-US"/>
        </w:rPr>
        <w:fldChar w:fldCharType="separate"/>
      </w:r>
      <w:r>
        <w:rPr>
          <w:lang w:eastAsia="en-US"/>
        </w:rPr>
        <w:t>[37]</w:t>
      </w:r>
      <w:r>
        <w:rPr>
          <w:lang w:eastAsia="en-US"/>
        </w:rPr>
        <w:fldChar w:fldCharType="end"/>
      </w:r>
      <w:r>
        <w:rPr>
          <w:lang w:eastAsia="en-US"/>
        </w:rPr>
        <w:t xml:space="preserve">. It is therefore plausible that the registry does not capture these underlying mechanisms and that a dedicated model may be required, providing a clear example of how acceptable aggregate performance can conceal severe failures in minority subgroups </w:t>
      </w:r>
      <w:r>
        <w:fldChar w:fldCharType="begin"/>
      </w:r>
      <w:r>
        <w:rPr>
          <w:lang w:eastAsia="en-US"/>
        </w:rPr>
        <w:instrText>ADDIN ZOTERO_ITEM CSL_CITATION {"citationID":"43YJdmwv","properties":{"unsorted":false,"formattedCitation":"[30], [38]\\uc0\\u8211{}[40]","plainCitation":"[30], [38]–[40]","noteIndex":0},"citationItems":[{"id":141,"uris":["http://zotero.org/users/local/0z44BwR0/items/TBPCBYGP"],"itemData":{"id":141,"type":"article-journal","container-title":"Science","DOI":"10.1126/science.aax2342","issue":"6464","page":"447–453","title":"Dissecting Racial Bias in an Algorithm Used to Manage the Health of Populations","volume":"366","author":[{"family":"Obermeyer","given":"Ziad"},{"family":"Powers","given":"Brian"},{"family":"Vogeli","given":"Christine"},{"family":"Mullainathan","given":"Sendhil"}],"issued":{"date-parts":[["2019"]]}}},{"id":217,"uris":["http://zotero.org/users/local/0z44BwR0/items/UTSFL5BG"],"itemData":{"id":217,"type":"article","abstrac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scores.","DOI":"10.48550/ARXIV.1610.02413","license":"arXiv.org perpetual, non-exclusive license","note":"version: 1","publisher":"arXiv","source":"DOI.org (Datacite)","title":"Equality of Opportunity in Supervised Learning","URL":"https://arxiv.org/abs/1610.02413","author":[{"family":"Hardt","given":"Moritz"},{"family":"Price","given":"Eric"},{"family":"Srebro","given":"Nathan"}],"accessed":{"date-parts":[["2026",7,25]]},"issued":{"date-parts":[["2016"]]}}},{"id":143,"uris":["http://zotero.org/users/local/0z44BwR0/items/CBYW22D7"],"itemData":{"id":143,"type":"article-journal","container-title":"Annals of Internal Medicine","DOI":"10.7326/M18-1990","issue":"12","page":"866–872","title":"Ensuring Fairness in Machine Learning to Advance Health Equity","volume":"169","author":[{"family":"Rajkomar","given":"Alvin"},{"family":"Hardt","given":"Moritz"},{"family":"Howell","given":"Michael D."},{"family":"Corrado","given":"Greg S."},{"family":"Chin","given":"Marshall H."}],"issued":{"date-parts":[["2018"]]}}},{"id":229,"uris":["http://zotero.org/users/local/0z44BwR0/items/DFBYETBN"],"itemData":{"id":229,"type":"article-journal","abstract":"The use of machine learning (ML) in healthcare raises numerous ethical concerns, especially as models can amplify existing health inequities. Here, we outline ethical considerations for equitable ML in the advancement of healthcare. Specifically, we frame ethics of ML in healthcare through the lens of social justice. We describe ongoing efforts and outline challenges in a proposed pipeline of ethical ML in health, ranging from problem selection to postdeployment considerations. We close by summarizing recommendations to address these challenges.","container-title":"Annual Review of Biomedical Data Science","DOI":"10.1146/annurev-biodatasci-092820-114757","ISSN":"2574-3414, 2574-3414","issue":"1","journalAbbreviation":"Annu. Rev. Biomed. Data Sci.","language":"en","page":"123-144","source":"DOI.org (Crossref)","title":"Ethical Machine Learning in Healthcare","URL":"https://www.annualreviews.org/doi/10.1146/annurev-biodatasci-092820-114757","volume":"4","author":[{"family":"Chen","given":"Irene Y."},{"family":"Pierson","given":"Emma"},{"family":"Rose","given":"Sherri"},{"family":"Joshi","given":"Shalmali"},{"family":"Ferryman","given":"Kadija"},{"family":"Ghassemi","given":"Marzyeh"}],"accessed":{"date-parts":[["2026",7,26]]},"issued":{"date-parts":[["2021",7,20]]}}}],"schema":"https://github.com/citation-style-language/schema/raw/master/csl-citation.json"}</w:instrText>
      </w:r>
      <w:r>
        <w:rPr>
          <w:lang w:eastAsia="en-US"/>
        </w:rPr>
        <w:fldChar w:fldCharType="separate"/>
      </w:r>
      <w:r>
        <w:t>[30], [38]–[40]</w:t>
      </w:r>
      <w:r>
        <w:rPr>
          <w:lang w:eastAsia="en-US"/>
        </w:rPr>
        <w:fldChar w:fldCharType="end"/>
      </w:r>
      <w:r>
        <w:rPr>
          <w:lang w:eastAsia="en-US"/>
        </w:rPr>
        <w:t>.</w:t>
      </w:r>
    </w:p>
    <w:p w14:paraId="38FAC67D" w14:textId="77777777" w:rsidR="004F01D1" w:rsidRDefault="00000000">
      <w:pPr>
        <w:pStyle w:val="Ttulo2"/>
        <w:rPr>
          <w:lang w:eastAsia="en-US"/>
        </w:rPr>
      </w:pPr>
      <w:r>
        <w:rPr>
          <w:lang w:eastAsia="en-US"/>
        </w:rPr>
        <w:t>D. Methodological Implications</w:t>
      </w:r>
    </w:p>
    <w:p w14:paraId="079D70F8" w14:textId="77777777" w:rsidR="004F01D1" w:rsidRDefault="00000000">
      <w:pPr>
        <w:rPr>
          <w:lang w:eastAsia="en-US"/>
        </w:rPr>
      </w:pPr>
      <w:r>
        <w:rPr>
          <w:lang w:eastAsia="en-US"/>
        </w:rPr>
        <w:t>Temporal splitting reduces one important source of optimism, but it does not by itself prevent leakage from predictors recorded after the intended prediction time. In addition, the 2025 holdout was reused for algorithm comparison, threshold selection, recalibration assessment, and clinical-utility analyses. With 345,020 observations, very small differences can yield small p-values; effect size, prespecified selection rules, and locked evaluation data are more informative than significance alone [41].</w:t>
      </w:r>
    </w:p>
    <w:p w14:paraId="3E039F7A" w14:textId="77777777" w:rsidR="004F01D1" w:rsidRDefault="00000000">
      <w:pPr>
        <w:pStyle w:val="Ttulo2"/>
        <w:rPr>
          <w:lang w:eastAsia="en-US"/>
        </w:rPr>
      </w:pPr>
      <w:r>
        <w:rPr>
          <w:lang w:eastAsia="en-US"/>
        </w:rPr>
        <w:t>E. Clinical and Research Implications</w:t>
      </w:r>
    </w:p>
    <w:p w14:paraId="2C09ECCE" w14:textId="77777777" w:rsidR="004F01D1" w:rsidRDefault="00000000">
      <w:pPr>
        <w:rPr>
          <w:lang w:eastAsia="en-US"/>
        </w:rPr>
      </w:pPr>
      <w:r>
        <w:rPr>
          <w:lang w:eastAsia="en-US"/>
        </w:rPr>
        <w:t>The present model should not be used for population triage or individual decisions. The DCA did not demonstrate positive net benefit, raw probabilities substantially overestimated risk, threshold-dependent metrics were optimized on the evaluation cohort, and performance was inadequate in the youngest maternal-age group. A future clinical model should first define an antenatal time point, exclude delivery and neonatal variables, reserve distinct data for model selection, calibration, threshold selection, and final testing, and then undergo external and prospective impact evaluation [15], [28], [42]–[44].</w:t>
      </w:r>
    </w:p>
    <w:p w14:paraId="13CE5A61" w14:textId="77777777" w:rsidR="004F01D1" w:rsidRDefault="00000000">
      <w:pPr>
        <w:pStyle w:val="Ttulo2"/>
        <w:rPr>
          <w:lang w:eastAsia="en-US"/>
        </w:rPr>
      </w:pPr>
      <w:r>
        <w:rPr>
          <w:lang w:eastAsia="en-US"/>
        </w:rPr>
        <w:t>F. Limitations</w:t>
      </w:r>
    </w:p>
    <w:p w14:paraId="6E6DEFE9" w14:textId="77777777" w:rsidR="004F01D1" w:rsidRDefault="00000000">
      <w:pPr>
        <w:rPr>
          <w:lang w:eastAsia="en-US"/>
        </w:rPr>
      </w:pPr>
      <w:r>
        <w:rPr>
          <w:lang w:eastAsia="en-US"/>
        </w:rPr>
        <w:t>Several limitations materially constrain interpretation. First, the pipeline included newborn sex, place of birth, birth attendant, and delivery funding source; the study is therefore not an early antenatal prediction model. Second, CatBoost ranked first in nested cross-validation whereas HistGradientBoosting ranked first on the 2025 holdout, and the latter was designated only after the holdout was inspected. Third, the same 2025 cohort was used for model comparison, threshold optimization, recalibration assessment, DCA, and subgroup analyses. Fourth, calibration methods were not validated on separate data, and no independent risk strata were available. Fifth, validation came from a later year of the same registry rather than an external health system. Additional limitations include the 50,000-record subsamples used for nested and leave-one-year-out analyses, 74.02% recorded missingness for abortions/fetal deaths, sentinel values not counted as nulls, a constant grand-multiparity feature, and absence of fetal biometry, blood pressure, hemoglobin, and body-mass index. The subgroup aged 14 years or younger was small, and its estimate requires uncertainty intervals and dedicated validation.</w:t>
      </w:r>
    </w:p>
    <w:p w14:paraId="0A99B216" w14:textId="77777777" w:rsidR="004F01D1" w:rsidRDefault="00000000">
      <w:pPr>
        <w:pStyle w:val="Ttulo1"/>
        <w:rPr>
          <w:lang w:eastAsia="en-US"/>
        </w:rPr>
      </w:pPr>
      <w:r>
        <w:rPr>
          <w:lang w:eastAsia="en-US"/>
        </w:rPr>
        <w:t>VI. CONCLUSIONS</w:t>
      </w:r>
    </w:p>
    <w:p w14:paraId="4551B3F5" w14:textId="77777777" w:rsidR="004F01D1" w:rsidRDefault="00000000">
      <w:pPr>
        <w:rPr>
          <w:lang w:eastAsia="en-US"/>
        </w:rPr>
      </w:pPr>
      <w:r>
        <w:rPr>
          <w:lang w:eastAsia="en-US"/>
        </w:rPr>
        <w:t>This nationwide registry analysis provides a temporal benchmark for LBW classification, not an early clinical prediction model. The strongest 2025 discrimination was observed for HistGradientBoosting (ROC-AUC, 0.6924), whereas CatBoost ranked first in the nested development analysis.</w:t>
      </w:r>
    </w:p>
    <w:p w14:paraId="6A71A028" w14:textId="77777777" w:rsidR="004F01D1" w:rsidRDefault="00000000">
      <w:pPr>
        <w:rPr>
          <w:lang w:eastAsia="en-US"/>
        </w:rPr>
      </w:pPr>
      <w:r>
        <w:rPr>
          <w:lang w:eastAsia="en-US"/>
        </w:rPr>
        <w:t>Raw probabilities markedly overestimated LBW risk, the selected threshold was optimized on the evaluation cohort, and decision-curve analysis did not demonstrate positive net benefit. The reported risk bands were therefore withdrawn as clinical categories.</w:t>
      </w:r>
    </w:p>
    <w:p w14:paraId="241A1CCA" w14:textId="77777777" w:rsidR="004F01D1" w:rsidRDefault="00000000">
      <w:pPr>
        <w:rPr>
          <w:lang w:eastAsia="en-US"/>
        </w:rPr>
      </w:pPr>
      <w:r>
        <w:rPr>
          <w:lang w:eastAsia="en-US"/>
        </w:rPr>
        <w:t>The model also showed substantial heterogeneity by maternal age and relied strongly on delivery-context features. These findings define important methodological constraints but do not establish clinical usefulness.</w:t>
      </w:r>
    </w:p>
    <w:p w14:paraId="18CF2755" w14:textId="77777777" w:rsidR="004F01D1" w:rsidRDefault="00000000">
      <w:pPr>
        <w:rPr>
          <w:lang w:eastAsia="en-US"/>
        </w:rPr>
      </w:pPr>
      <w:r>
        <w:rPr>
          <w:lang w:eastAsia="en-US"/>
        </w:rPr>
        <w:t>A clinically oriented next study should specify an antenatal prediction time, remove all variables unavailable at that time, prespecify model selection, use separate development, calibration, threshold-selection, and final-test partitions, and validate calibrated risk categories in an external prospective cohort before any deployment claim.</w:t>
      </w:r>
    </w:p>
    <w:p w14:paraId="5E24B953" w14:textId="77777777" w:rsidR="004F01D1" w:rsidRDefault="00000000">
      <w:pPr>
        <w:pStyle w:val="Ttulo1"/>
      </w:pPr>
      <w:r>
        <w:t>REFERENCES</w:t>
      </w:r>
    </w:p>
    <w:p w14:paraId="41E69000" w14:textId="77777777" w:rsidR="004F01D1" w:rsidRDefault="00000000">
      <w:pPr>
        <w:pStyle w:val="Bibliografa"/>
        <w:rPr>
          <w:sz w:val="16"/>
          <w:szCs w:val="16"/>
        </w:rPr>
      </w:pPr>
      <w:r>
        <w:fldChar w:fldCharType="begin"/>
      </w:r>
      <w:r>
        <w:rPr>
          <w:sz w:val="16"/>
          <w:szCs w:val="16"/>
        </w:rPr>
        <w:instrText>ADDIN ZOTERO_BIBL {"uncited":[],"omitted":[],"custom":[]} CSL_BIBLIOGRAPHY</w:instrText>
      </w:r>
      <w:r>
        <w:rPr>
          <w:sz w:val="16"/>
          <w:szCs w:val="16"/>
        </w:rPr>
        <w:fldChar w:fldCharType="separate"/>
      </w:r>
      <w:r>
        <w:rPr>
          <w:sz w:val="16"/>
          <w:szCs w:val="16"/>
        </w:rPr>
        <w:t>[1]</w:t>
      </w:r>
      <w:r>
        <w:rPr>
          <w:sz w:val="16"/>
          <w:szCs w:val="16"/>
        </w:rPr>
        <w:tab/>
        <w:t xml:space="preserve">J. Krasevec </w:t>
      </w:r>
      <w:r>
        <w:rPr>
          <w:i/>
          <w:iCs/>
          <w:sz w:val="16"/>
          <w:szCs w:val="16"/>
        </w:rPr>
        <w:t>et al.</w:t>
      </w:r>
      <w:r>
        <w:rPr>
          <w:sz w:val="16"/>
          <w:szCs w:val="16"/>
        </w:rPr>
        <w:t xml:space="preserve">, “Study protocol for UNICEF and WHO estimates of global, regional, and national low birthweight prevalence for 2000 to 2020,” </w:t>
      </w:r>
      <w:r>
        <w:rPr>
          <w:i/>
          <w:iCs/>
          <w:sz w:val="16"/>
          <w:szCs w:val="16"/>
        </w:rPr>
        <w:t>Gates Open Res.</w:t>
      </w:r>
      <w:r>
        <w:rPr>
          <w:sz w:val="16"/>
          <w:szCs w:val="16"/>
        </w:rPr>
        <w:t>, vol. 6, p. 80, Jul. 2022, doi: 10.12688/gatesopenres.13666.1.</w:t>
      </w:r>
    </w:p>
    <w:p w14:paraId="452F2A97" w14:textId="77777777" w:rsidR="004F01D1" w:rsidRDefault="00000000">
      <w:pPr>
        <w:pStyle w:val="Bibliografa"/>
        <w:rPr>
          <w:sz w:val="16"/>
          <w:szCs w:val="16"/>
        </w:rPr>
      </w:pPr>
      <w:r>
        <w:rPr>
          <w:sz w:val="16"/>
          <w:szCs w:val="16"/>
        </w:rPr>
        <w:t>[2]</w:t>
      </w:r>
      <w:r>
        <w:rPr>
          <w:sz w:val="16"/>
          <w:szCs w:val="16"/>
        </w:rPr>
        <w:tab/>
        <w:t>World Health Organization, “Global Nutrition Targets 2025: Low Birth Weight Policy Brief,” World Health Organization, Geneva, Switzerland, WHO/NMH/NHD/14.5, 2014. [Online]. Available: https://www.who.int/publications/i/item/WHO-NMH-NHD-14.5</w:t>
      </w:r>
    </w:p>
    <w:p w14:paraId="3D81AD7C" w14:textId="77777777" w:rsidR="004F01D1" w:rsidRDefault="00000000">
      <w:pPr>
        <w:pStyle w:val="Bibliografa"/>
        <w:rPr>
          <w:sz w:val="16"/>
          <w:szCs w:val="16"/>
        </w:rPr>
      </w:pPr>
      <w:r>
        <w:rPr>
          <w:sz w:val="16"/>
          <w:szCs w:val="16"/>
        </w:rPr>
        <w:t>[3]</w:t>
      </w:r>
      <w:r>
        <w:rPr>
          <w:sz w:val="16"/>
          <w:szCs w:val="16"/>
        </w:rPr>
        <w:tab/>
        <w:t xml:space="preserve">H. Gu </w:t>
      </w:r>
      <w:r>
        <w:rPr>
          <w:i/>
          <w:iCs/>
          <w:sz w:val="16"/>
          <w:szCs w:val="16"/>
        </w:rPr>
        <w:t>et al.</w:t>
      </w:r>
      <w:r>
        <w:rPr>
          <w:sz w:val="16"/>
          <w:szCs w:val="16"/>
        </w:rPr>
        <w:t xml:space="preserve">, “A gradient relationship between low birth weight and IQ: A meta-analysis,” </w:t>
      </w:r>
      <w:r>
        <w:rPr>
          <w:i/>
          <w:iCs/>
          <w:sz w:val="16"/>
          <w:szCs w:val="16"/>
        </w:rPr>
        <w:t>Sci. Rep.</w:t>
      </w:r>
      <w:r>
        <w:rPr>
          <w:sz w:val="16"/>
          <w:szCs w:val="16"/>
        </w:rPr>
        <w:t>, vol. 7, no. 1, p. 18035, Dec. 2017, doi: 10.1038/s41598-017-18234-9.</w:t>
      </w:r>
    </w:p>
    <w:p w14:paraId="32E94497" w14:textId="77777777" w:rsidR="004F01D1" w:rsidRDefault="00000000">
      <w:pPr>
        <w:pStyle w:val="Bibliografa"/>
        <w:rPr>
          <w:sz w:val="16"/>
          <w:szCs w:val="16"/>
        </w:rPr>
      </w:pPr>
      <w:r>
        <w:rPr>
          <w:sz w:val="16"/>
          <w:szCs w:val="16"/>
        </w:rPr>
        <w:t>[4]</w:t>
      </w:r>
      <w:r>
        <w:rPr>
          <w:sz w:val="16"/>
          <w:szCs w:val="16"/>
        </w:rPr>
        <w:tab/>
        <w:t xml:space="preserve">F. R. Jornayvaz, P. Vollenweider, M. Bochud, V. Mooser, G. Waeber, and P. Marques-Vidal, “Low birth weight leads to obesity, diabetes and increased leptin levels in adults: the CoLaus study,” </w:t>
      </w:r>
      <w:r>
        <w:rPr>
          <w:i/>
          <w:iCs/>
          <w:sz w:val="16"/>
          <w:szCs w:val="16"/>
        </w:rPr>
        <w:t>Cardiovasc. Diabetol.</w:t>
      </w:r>
      <w:r>
        <w:rPr>
          <w:sz w:val="16"/>
          <w:szCs w:val="16"/>
        </w:rPr>
        <w:t>, vol. 15, no. 1, p. 73, Dec. 2016, doi: 10.1186/s12933-016-0389-2.</w:t>
      </w:r>
    </w:p>
    <w:p w14:paraId="39F926D4" w14:textId="77777777" w:rsidR="004F01D1" w:rsidRDefault="00000000">
      <w:pPr>
        <w:pStyle w:val="Bibliografa"/>
        <w:rPr>
          <w:sz w:val="16"/>
          <w:szCs w:val="16"/>
        </w:rPr>
      </w:pPr>
      <w:r>
        <w:rPr>
          <w:sz w:val="16"/>
          <w:szCs w:val="16"/>
        </w:rPr>
        <w:t>[5]</w:t>
      </w:r>
      <w:r>
        <w:rPr>
          <w:sz w:val="16"/>
          <w:szCs w:val="16"/>
        </w:rPr>
        <w:tab/>
        <w:t xml:space="preserve">D. A. Alabbad </w:t>
      </w:r>
      <w:r>
        <w:rPr>
          <w:i/>
          <w:iCs/>
          <w:sz w:val="16"/>
          <w:szCs w:val="16"/>
        </w:rPr>
        <w:t>et al.</w:t>
      </w:r>
      <w:r>
        <w:rPr>
          <w:sz w:val="16"/>
          <w:szCs w:val="16"/>
        </w:rPr>
        <w:t xml:space="preserve">, “Birthweight Range Prediction and Classification: A Machine Learning-Based Sustainable Approach,” </w:t>
      </w:r>
      <w:r>
        <w:rPr>
          <w:i/>
          <w:iCs/>
          <w:sz w:val="16"/>
          <w:szCs w:val="16"/>
        </w:rPr>
        <w:t>Mach. Learn. Knowl. Extr.</w:t>
      </w:r>
      <w:r>
        <w:rPr>
          <w:sz w:val="16"/>
          <w:szCs w:val="16"/>
        </w:rPr>
        <w:t>, vol. 6, no. 2, pp. 770–788, Apr. 2024, doi: 10.3390/make6020036.</w:t>
      </w:r>
    </w:p>
    <w:p w14:paraId="265361EB" w14:textId="77777777" w:rsidR="004F01D1" w:rsidRDefault="00000000">
      <w:pPr>
        <w:pStyle w:val="Bibliografa"/>
        <w:rPr>
          <w:sz w:val="16"/>
          <w:szCs w:val="16"/>
        </w:rPr>
      </w:pPr>
      <w:r>
        <w:rPr>
          <w:sz w:val="16"/>
          <w:szCs w:val="16"/>
        </w:rPr>
        <w:t>[6]</w:t>
      </w:r>
      <w:r>
        <w:rPr>
          <w:sz w:val="16"/>
          <w:szCs w:val="16"/>
        </w:rPr>
        <w:tab/>
        <w:t xml:space="preserve">X. Wu </w:t>
      </w:r>
      <w:r>
        <w:rPr>
          <w:i/>
          <w:iCs/>
          <w:sz w:val="16"/>
          <w:szCs w:val="16"/>
        </w:rPr>
        <w:t>et al.</w:t>
      </w:r>
      <w:r>
        <w:rPr>
          <w:sz w:val="16"/>
          <w:szCs w:val="16"/>
        </w:rPr>
        <w:t xml:space="preserve">, “Interpretable machine learning model for predicting low birth weight in singleton pregnancies: a retrospective cohort study,” </w:t>
      </w:r>
      <w:r>
        <w:rPr>
          <w:i/>
          <w:iCs/>
          <w:sz w:val="16"/>
          <w:szCs w:val="16"/>
        </w:rPr>
        <w:t>BMC Pregnancy Childbirth</w:t>
      </w:r>
      <w:r>
        <w:rPr>
          <w:sz w:val="16"/>
          <w:szCs w:val="16"/>
        </w:rPr>
        <w:t>, vol. 25, no. 1, p. 1159, Nov. 2025, doi: 10.1186/s12884-025-08318-0.</w:t>
      </w:r>
    </w:p>
    <w:p w14:paraId="67E0321C" w14:textId="77777777" w:rsidR="004F01D1" w:rsidRDefault="00000000">
      <w:pPr>
        <w:pStyle w:val="Bibliografa"/>
        <w:rPr>
          <w:sz w:val="16"/>
          <w:szCs w:val="16"/>
        </w:rPr>
      </w:pPr>
      <w:r>
        <w:rPr>
          <w:sz w:val="16"/>
          <w:szCs w:val="16"/>
        </w:rPr>
        <w:t>[7]</w:t>
      </w:r>
      <w:r>
        <w:rPr>
          <w:sz w:val="16"/>
          <w:szCs w:val="16"/>
        </w:rPr>
        <w:tab/>
        <w:t xml:space="preserve">“Utilization of tree-based machine learning models for predicting low birth weight cases,” </w:t>
      </w:r>
      <w:r>
        <w:rPr>
          <w:i/>
          <w:iCs/>
          <w:sz w:val="16"/>
          <w:szCs w:val="16"/>
        </w:rPr>
        <w:t>BMC Med. Inform. Decis. Mak.</w:t>
      </w:r>
      <w:r>
        <w:rPr>
          <w:sz w:val="16"/>
          <w:szCs w:val="16"/>
        </w:rPr>
        <w:t>, 2024, doi: 10.21203/rs.3.rs-4572430/v1.</w:t>
      </w:r>
    </w:p>
    <w:p w14:paraId="1EEF4FCA" w14:textId="77777777" w:rsidR="004F01D1" w:rsidRDefault="00000000">
      <w:pPr>
        <w:pStyle w:val="Bibliografa"/>
        <w:rPr>
          <w:sz w:val="16"/>
          <w:szCs w:val="16"/>
        </w:rPr>
      </w:pPr>
      <w:r>
        <w:rPr>
          <w:sz w:val="16"/>
          <w:szCs w:val="16"/>
        </w:rPr>
        <w:t>[8]</w:t>
      </w:r>
      <w:r>
        <w:rPr>
          <w:sz w:val="16"/>
          <w:szCs w:val="16"/>
        </w:rPr>
        <w:tab/>
        <w:t xml:space="preserve">T. B. Reza and N. Salma, “Prediction and feature selection of low birth weight using machine learning algorithms,” </w:t>
      </w:r>
      <w:r>
        <w:rPr>
          <w:i/>
          <w:iCs/>
          <w:sz w:val="16"/>
          <w:szCs w:val="16"/>
        </w:rPr>
        <w:t>J. Health Popul. Nutr.</w:t>
      </w:r>
      <w:r>
        <w:rPr>
          <w:sz w:val="16"/>
          <w:szCs w:val="16"/>
        </w:rPr>
        <w:t>, vol. 43, no. 1, p. 157, Oct. 2024, doi: 10.1186/s41043-024-00647-8.</w:t>
      </w:r>
    </w:p>
    <w:p w14:paraId="5DD4B646" w14:textId="77777777" w:rsidR="004F01D1" w:rsidRDefault="00000000">
      <w:pPr>
        <w:pStyle w:val="Bibliografa"/>
        <w:rPr>
          <w:sz w:val="16"/>
          <w:szCs w:val="16"/>
        </w:rPr>
      </w:pPr>
      <w:r>
        <w:rPr>
          <w:sz w:val="16"/>
          <w:szCs w:val="16"/>
        </w:rPr>
        <w:t>[9]</w:t>
      </w:r>
      <w:r>
        <w:rPr>
          <w:sz w:val="16"/>
          <w:szCs w:val="16"/>
        </w:rPr>
        <w:tab/>
        <w:t xml:space="preserve">J. Gao </w:t>
      </w:r>
      <w:r>
        <w:rPr>
          <w:i/>
          <w:iCs/>
          <w:sz w:val="16"/>
          <w:szCs w:val="16"/>
        </w:rPr>
        <w:t>et al.</w:t>
      </w:r>
      <w:r>
        <w:rPr>
          <w:sz w:val="16"/>
          <w:szCs w:val="16"/>
        </w:rPr>
        <w:t xml:space="preserve">, “Methodological conduct and risk of bias in studies on prenatal birthweight prediction models using machine learning techniques: a systematic review,” </w:t>
      </w:r>
      <w:r>
        <w:rPr>
          <w:i/>
          <w:iCs/>
          <w:sz w:val="16"/>
          <w:szCs w:val="16"/>
        </w:rPr>
        <w:t>BMC Pregnancy Childbirth</w:t>
      </w:r>
      <w:r>
        <w:rPr>
          <w:sz w:val="16"/>
          <w:szCs w:val="16"/>
        </w:rPr>
        <w:t>, vol. 25, no. 1, p. 696, Jul. 2025, doi: 10.1186/s12884-025-07727-5.</w:t>
      </w:r>
    </w:p>
    <w:p w14:paraId="4461769E" w14:textId="77777777" w:rsidR="004F01D1" w:rsidRDefault="00000000">
      <w:pPr>
        <w:pStyle w:val="Bibliografa"/>
        <w:rPr>
          <w:sz w:val="16"/>
          <w:szCs w:val="16"/>
        </w:rPr>
      </w:pPr>
      <w:r>
        <w:rPr>
          <w:sz w:val="16"/>
          <w:szCs w:val="16"/>
        </w:rPr>
        <w:t>[10]</w:t>
      </w:r>
      <w:r>
        <w:rPr>
          <w:sz w:val="16"/>
          <w:szCs w:val="16"/>
        </w:rPr>
        <w:tab/>
        <w:t xml:space="preserve">A. Victor, F. Almeida, S. P. Xavier, and P. H. C. Rondó, “Predicting low birth weight risks in pregnant women in Brazil using machine learning algorithms: data from the Araraquara cohort study,” </w:t>
      </w:r>
      <w:r>
        <w:rPr>
          <w:i/>
          <w:iCs/>
          <w:sz w:val="16"/>
          <w:szCs w:val="16"/>
        </w:rPr>
        <w:t>BMC Pregnancy Childbirth</w:t>
      </w:r>
      <w:r>
        <w:rPr>
          <w:sz w:val="16"/>
          <w:szCs w:val="16"/>
        </w:rPr>
        <w:t>, vol. 25, no. 1, p. 320, Mar. 2025, doi: 10.1186/s12884-025-07351-3.</w:t>
      </w:r>
    </w:p>
    <w:p w14:paraId="6A106768" w14:textId="77777777" w:rsidR="004F01D1" w:rsidRDefault="00000000">
      <w:pPr>
        <w:pStyle w:val="Bibliografa"/>
        <w:rPr>
          <w:sz w:val="16"/>
          <w:szCs w:val="16"/>
        </w:rPr>
      </w:pPr>
      <w:r>
        <w:rPr>
          <w:sz w:val="16"/>
          <w:szCs w:val="16"/>
        </w:rPr>
        <w:t>[11]</w:t>
      </w:r>
      <w:r>
        <w:rPr>
          <w:sz w:val="16"/>
          <w:szCs w:val="16"/>
        </w:rPr>
        <w:tab/>
        <w:t xml:space="preserve">A. Ranjbar, F. Montazeri, M. V. Farashah, V. Mehrnoush, F. Darsareh, and N. Roozbeh, “Machine learning-based approach for predicting low birth weight,” </w:t>
      </w:r>
      <w:r>
        <w:rPr>
          <w:i/>
          <w:iCs/>
          <w:sz w:val="16"/>
          <w:szCs w:val="16"/>
        </w:rPr>
        <w:t>BMC Pregnancy Childbirth</w:t>
      </w:r>
      <w:r>
        <w:rPr>
          <w:sz w:val="16"/>
          <w:szCs w:val="16"/>
        </w:rPr>
        <w:t>, vol. 23, no. 1, p. 803, Nov. 2023, doi: 10.1186/s12884-023-06128-w.</w:t>
      </w:r>
    </w:p>
    <w:p w14:paraId="125C0316" w14:textId="77777777" w:rsidR="004F01D1" w:rsidRDefault="00000000">
      <w:pPr>
        <w:pStyle w:val="Bibliografa"/>
        <w:rPr>
          <w:sz w:val="16"/>
          <w:szCs w:val="16"/>
        </w:rPr>
      </w:pPr>
      <w:r>
        <w:rPr>
          <w:sz w:val="16"/>
          <w:szCs w:val="16"/>
        </w:rPr>
        <w:lastRenderedPageBreak/>
        <w:t>[12]</w:t>
      </w:r>
      <w:r>
        <w:rPr>
          <w:sz w:val="16"/>
          <w:szCs w:val="16"/>
        </w:rPr>
        <w:tab/>
        <w:t xml:space="preserve">M. Cui </w:t>
      </w:r>
      <w:r>
        <w:rPr>
          <w:i/>
          <w:iCs/>
          <w:sz w:val="16"/>
          <w:szCs w:val="16"/>
        </w:rPr>
        <w:t>et al.</w:t>
      </w:r>
      <w:r>
        <w:rPr>
          <w:sz w:val="16"/>
          <w:szCs w:val="16"/>
        </w:rPr>
        <w:t xml:space="preserve">, “Predicting macrosomia and low birth weight with interpretable machine learning,” </w:t>
      </w:r>
      <w:r>
        <w:rPr>
          <w:i/>
          <w:iCs/>
          <w:sz w:val="16"/>
          <w:szCs w:val="16"/>
        </w:rPr>
        <w:t>BMC Pregnancy Childbirth</w:t>
      </w:r>
      <w:r>
        <w:rPr>
          <w:sz w:val="16"/>
          <w:szCs w:val="16"/>
        </w:rPr>
        <w:t>, vol. 26, no. 1, p. 217, Feb. 2026, doi: 10.1186/s12884-026-08667-4.</w:t>
      </w:r>
    </w:p>
    <w:p w14:paraId="6EEF1198" w14:textId="77777777" w:rsidR="004F01D1" w:rsidRDefault="00000000">
      <w:pPr>
        <w:pStyle w:val="Bibliografa"/>
        <w:rPr>
          <w:sz w:val="16"/>
          <w:szCs w:val="16"/>
        </w:rPr>
      </w:pPr>
      <w:r>
        <w:rPr>
          <w:sz w:val="16"/>
          <w:szCs w:val="16"/>
        </w:rPr>
        <w:t>[13]</w:t>
      </w:r>
      <w:r>
        <w:rPr>
          <w:sz w:val="16"/>
          <w:szCs w:val="16"/>
        </w:rPr>
        <w:tab/>
        <w:t xml:space="preserve">S. Lundberg and S.-I. Lee, “A Unified Approach to Interpreting Model Predictions,” Nov. 25, 2017, </w:t>
      </w:r>
      <w:r>
        <w:rPr>
          <w:i/>
          <w:iCs/>
          <w:sz w:val="16"/>
          <w:szCs w:val="16"/>
        </w:rPr>
        <w:t>arXiv</w:t>
      </w:r>
      <w:r>
        <w:rPr>
          <w:sz w:val="16"/>
          <w:szCs w:val="16"/>
        </w:rPr>
        <w:t>: arXiv:1705.07874. doi: 10.48550/arXiv.1705.07874.</w:t>
      </w:r>
    </w:p>
    <w:p w14:paraId="6482F3AB" w14:textId="77777777" w:rsidR="004F01D1" w:rsidRDefault="00000000">
      <w:pPr>
        <w:pStyle w:val="Bibliografa"/>
        <w:rPr>
          <w:sz w:val="16"/>
          <w:szCs w:val="16"/>
        </w:rPr>
      </w:pPr>
      <w:r>
        <w:rPr>
          <w:sz w:val="16"/>
          <w:szCs w:val="16"/>
        </w:rPr>
        <w:t>[14]</w:t>
      </w:r>
      <w:r>
        <w:rPr>
          <w:sz w:val="16"/>
          <w:szCs w:val="16"/>
        </w:rPr>
        <w:tab/>
        <w:t xml:space="preserve">G. S. Collins, J. B. Reitsma, D. G. Altman, and K. G. M. Moons, “Transparent Reporting of a multivariable prediction model for Individual Prognosis Or Diagnosis (TRIPOD): The TRIPOD Statement,” </w:t>
      </w:r>
      <w:r>
        <w:rPr>
          <w:i/>
          <w:iCs/>
          <w:sz w:val="16"/>
          <w:szCs w:val="16"/>
        </w:rPr>
        <w:t>Ann. Intern. Med.</w:t>
      </w:r>
      <w:r>
        <w:rPr>
          <w:sz w:val="16"/>
          <w:szCs w:val="16"/>
        </w:rPr>
        <w:t>, vol. 162, no. 1, pp. 55–63, Jan. 2015, doi: 10.7326/M14-0697.</w:t>
      </w:r>
    </w:p>
    <w:p w14:paraId="0ECAE647" w14:textId="77777777" w:rsidR="004F01D1" w:rsidRDefault="00000000">
      <w:pPr>
        <w:pStyle w:val="Bibliografa"/>
        <w:rPr>
          <w:sz w:val="16"/>
          <w:szCs w:val="16"/>
          <w:lang w:val="es-PE"/>
        </w:rPr>
      </w:pPr>
      <w:r>
        <w:rPr>
          <w:sz w:val="16"/>
          <w:szCs w:val="16"/>
        </w:rPr>
        <w:t>[15]</w:t>
      </w:r>
      <w:r>
        <w:rPr>
          <w:sz w:val="16"/>
          <w:szCs w:val="16"/>
        </w:rPr>
        <w:tab/>
        <w:t xml:space="preserve">E. W. Steyerberg, </w:t>
      </w:r>
      <w:r>
        <w:rPr>
          <w:i/>
          <w:iCs/>
          <w:sz w:val="16"/>
          <w:szCs w:val="16"/>
        </w:rPr>
        <w:t>Clinical Prediction Models: A Practical Approach to Development, Validation, and Updating</w:t>
      </w:r>
      <w:r>
        <w:rPr>
          <w:sz w:val="16"/>
          <w:szCs w:val="16"/>
        </w:rPr>
        <w:t xml:space="preserve">. in Statistics for Biology and Health. </w:t>
      </w:r>
      <w:r>
        <w:rPr>
          <w:sz w:val="16"/>
          <w:szCs w:val="16"/>
          <w:lang w:val="es-PE"/>
        </w:rPr>
        <w:t>Cham: Springer International Publishing, 2019. doi: 10.1007/978-3-030-16399-0.</w:t>
      </w:r>
    </w:p>
    <w:p w14:paraId="18F0EEA3" w14:textId="77777777" w:rsidR="004F01D1" w:rsidRDefault="00000000">
      <w:pPr>
        <w:pStyle w:val="Bibliografa"/>
        <w:rPr>
          <w:sz w:val="16"/>
          <w:szCs w:val="16"/>
          <w:lang w:val="es-PE"/>
        </w:rPr>
      </w:pPr>
      <w:r>
        <w:rPr>
          <w:sz w:val="16"/>
          <w:szCs w:val="16"/>
          <w:lang w:val="es-PE"/>
        </w:rPr>
        <w:t>[16]</w:t>
      </w:r>
      <w:r>
        <w:rPr>
          <w:sz w:val="16"/>
          <w:szCs w:val="16"/>
          <w:lang w:val="es-PE"/>
        </w:rPr>
        <w:tab/>
        <w:t>Ministerio de Salud - MINSA, “Registros de Nacidos Vivos en el Perú (2015–2025).” [Online]. Available: https://n9.cl/cnv-minsa</w:t>
      </w:r>
    </w:p>
    <w:p w14:paraId="6DFFA992" w14:textId="77777777" w:rsidR="004F01D1" w:rsidRDefault="00000000">
      <w:pPr>
        <w:pStyle w:val="Bibliografa"/>
        <w:rPr>
          <w:sz w:val="16"/>
          <w:szCs w:val="16"/>
          <w:lang w:val="es-PE"/>
        </w:rPr>
      </w:pPr>
      <w:r>
        <w:rPr>
          <w:sz w:val="16"/>
          <w:szCs w:val="16"/>
          <w:lang w:val="es-PE"/>
        </w:rPr>
        <w:t>[17]</w:t>
      </w:r>
      <w:r>
        <w:rPr>
          <w:sz w:val="16"/>
          <w:szCs w:val="16"/>
          <w:lang w:val="es-PE"/>
        </w:rPr>
        <w:tab/>
        <w:t xml:space="preserve">UNFPA América Latina y el Caribe, </w:t>
      </w:r>
      <w:r>
        <w:rPr>
          <w:i/>
          <w:iCs/>
          <w:sz w:val="16"/>
          <w:szCs w:val="16"/>
          <w:lang w:val="es-PE"/>
        </w:rPr>
        <w:t>Guía para la evaluación de la calidad de registros de nacimientos y defunciones en América Latina y el Caribe</w:t>
      </w:r>
      <w:r>
        <w:rPr>
          <w:sz w:val="16"/>
          <w:szCs w:val="16"/>
          <w:lang w:val="es-PE"/>
        </w:rPr>
        <w:t>. UNFPA, 2025. [Online]. Available: https://n9.cl/unfpa-guia</w:t>
      </w:r>
    </w:p>
    <w:p w14:paraId="04193563" w14:textId="77777777" w:rsidR="004F01D1" w:rsidRDefault="00000000">
      <w:pPr>
        <w:pStyle w:val="Bibliografa"/>
        <w:rPr>
          <w:sz w:val="16"/>
          <w:szCs w:val="16"/>
          <w:lang w:val="es-PE"/>
        </w:rPr>
      </w:pPr>
      <w:r>
        <w:rPr>
          <w:sz w:val="16"/>
          <w:szCs w:val="16"/>
          <w:lang w:val="es-PE"/>
        </w:rPr>
        <w:t>[18]</w:t>
      </w:r>
      <w:r>
        <w:rPr>
          <w:sz w:val="16"/>
          <w:szCs w:val="16"/>
          <w:lang w:val="es-PE"/>
        </w:rPr>
        <w:tab/>
        <w:t xml:space="preserve">O. Tipiani-Rodríguez, Y. L. Bocanegra-Becerra, C. Huarag-Chavarry, K. Figueroa-Morales, and M. Á. PoncianoBiaggi, “Restricción de crecimiento intrauterino según curvas personalizadas peruanas: estudio de validación y precisión diagnóstica,” </w:t>
      </w:r>
      <w:r>
        <w:rPr>
          <w:i/>
          <w:iCs/>
          <w:sz w:val="16"/>
          <w:szCs w:val="16"/>
          <w:lang w:val="es-PE"/>
        </w:rPr>
        <w:t>Rev. Peru. Ginecol. Obstet.</w:t>
      </w:r>
      <w:r>
        <w:rPr>
          <w:sz w:val="16"/>
          <w:szCs w:val="16"/>
          <w:lang w:val="es-PE"/>
        </w:rPr>
        <w:t>, vol. 70, no. 1, Mar. 2024, doi: 10.31403/rpgo.v70i2593.</w:t>
      </w:r>
    </w:p>
    <w:p w14:paraId="5621C771" w14:textId="77777777" w:rsidR="004F01D1" w:rsidRDefault="00000000">
      <w:pPr>
        <w:pStyle w:val="Bibliografa"/>
        <w:rPr>
          <w:sz w:val="16"/>
          <w:szCs w:val="16"/>
          <w:lang w:val="es-PE"/>
        </w:rPr>
      </w:pPr>
      <w:r>
        <w:rPr>
          <w:sz w:val="16"/>
          <w:szCs w:val="16"/>
          <w:lang w:val="es-PE"/>
        </w:rPr>
        <w:t>[19]</w:t>
      </w:r>
      <w:r>
        <w:rPr>
          <w:sz w:val="16"/>
          <w:szCs w:val="16"/>
          <w:lang w:val="es-PE"/>
        </w:rPr>
        <w:tab/>
        <w:t>Ministerio de Economía y Finanzas del Perú, “Programa Salud Materno Neonatal.” [Online]. Available: https://n9.cl/salud-materno-neonatal</w:t>
      </w:r>
    </w:p>
    <w:p w14:paraId="68ED27E5" w14:textId="77777777" w:rsidR="004F01D1" w:rsidRDefault="00000000">
      <w:pPr>
        <w:pStyle w:val="Bibliografa"/>
        <w:rPr>
          <w:sz w:val="16"/>
          <w:szCs w:val="16"/>
        </w:rPr>
      </w:pPr>
      <w:r>
        <w:rPr>
          <w:sz w:val="16"/>
          <w:szCs w:val="16"/>
          <w:lang w:val="es-PE"/>
        </w:rPr>
        <w:t>[20]</w:t>
      </w:r>
      <w:r>
        <w:rPr>
          <w:sz w:val="16"/>
          <w:szCs w:val="16"/>
          <w:lang w:val="es-PE"/>
        </w:rPr>
        <w:tab/>
        <w:t xml:space="preserve">Ministerio de Salud - MINSA, “Diccionario de Datos de los Registros de Nacidos Vivos en el Perú (2015–2025).” </w:t>
      </w:r>
      <w:r>
        <w:rPr>
          <w:sz w:val="16"/>
          <w:szCs w:val="16"/>
        </w:rPr>
        <w:t>[Online]. Available: https://n9.cl/diccionarioCNV</w:t>
      </w:r>
    </w:p>
    <w:p w14:paraId="6D2060F8" w14:textId="77777777" w:rsidR="004F01D1" w:rsidRDefault="00000000">
      <w:pPr>
        <w:pStyle w:val="Bibliografa"/>
        <w:rPr>
          <w:sz w:val="16"/>
          <w:szCs w:val="16"/>
        </w:rPr>
      </w:pPr>
      <w:r>
        <w:rPr>
          <w:sz w:val="16"/>
          <w:szCs w:val="16"/>
        </w:rPr>
        <w:t>[21]</w:t>
      </w:r>
      <w:r>
        <w:rPr>
          <w:sz w:val="16"/>
          <w:szCs w:val="16"/>
        </w:rPr>
        <w:tab/>
        <w:t xml:space="preserve">M. Jin, “Handling missing data in longitudinal randomized clinical trials within the framework of targeted learning under MAR and MNAR,” </w:t>
      </w:r>
      <w:r>
        <w:rPr>
          <w:i/>
          <w:iCs/>
          <w:sz w:val="16"/>
          <w:szCs w:val="16"/>
        </w:rPr>
        <w:t>Contemp. Clin. Trials</w:t>
      </w:r>
      <w:r>
        <w:rPr>
          <w:sz w:val="16"/>
          <w:szCs w:val="16"/>
        </w:rPr>
        <w:t>, vol. 162, p. 108245, Mar. 2026, doi: 10.1016/j.cct.2026.108245.</w:t>
      </w:r>
    </w:p>
    <w:p w14:paraId="0E34EFB3" w14:textId="77777777" w:rsidR="004F01D1" w:rsidRDefault="00000000">
      <w:pPr>
        <w:pStyle w:val="Bibliografa"/>
        <w:rPr>
          <w:sz w:val="16"/>
          <w:szCs w:val="16"/>
        </w:rPr>
      </w:pPr>
      <w:r>
        <w:rPr>
          <w:sz w:val="16"/>
          <w:szCs w:val="16"/>
        </w:rPr>
        <w:t>[22]</w:t>
      </w:r>
      <w:r>
        <w:rPr>
          <w:sz w:val="16"/>
          <w:szCs w:val="16"/>
        </w:rPr>
        <w:tab/>
        <w:t xml:space="preserve">World Health Organization, </w:t>
      </w:r>
      <w:r>
        <w:rPr>
          <w:i/>
          <w:iCs/>
          <w:sz w:val="16"/>
          <w:szCs w:val="16"/>
        </w:rPr>
        <w:t>Strategies toward ending preventable maternal mortality (EPMM)</w:t>
      </w:r>
      <w:r>
        <w:rPr>
          <w:sz w:val="16"/>
          <w:szCs w:val="16"/>
        </w:rPr>
        <w:t>. World Health Organization, 2015. [Online]. Available: https://www.who.int/docs/default-source/mca-documents/qoc/quality-of-care/strategies-toward-ending-preventable-maternal-mortality-(epmm).pdf</w:t>
      </w:r>
    </w:p>
    <w:p w14:paraId="1FDC6532" w14:textId="77777777" w:rsidR="004F01D1" w:rsidRDefault="00000000">
      <w:pPr>
        <w:pStyle w:val="Bibliografa"/>
        <w:rPr>
          <w:sz w:val="16"/>
          <w:szCs w:val="16"/>
        </w:rPr>
      </w:pPr>
      <w:r>
        <w:rPr>
          <w:sz w:val="16"/>
          <w:szCs w:val="16"/>
        </w:rPr>
        <w:t>[23]</w:t>
      </w:r>
      <w:r>
        <w:rPr>
          <w:sz w:val="16"/>
          <w:szCs w:val="16"/>
        </w:rPr>
        <w:tab/>
        <w:t xml:space="preserve">J. Villar </w:t>
      </w:r>
      <w:r>
        <w:rPr>
          <w:i/>
          <w:iCs/>
          <w:sz w:val="16"/>
          <w:szCs w:val="16"/>
        </w:rPr>
        <w:t>et al.</w:t>
      </w:r>
      <w:r>
        <w:rPr>
          <w:sz w:val="16"/>
          <w:szCs w:val="16"/>
        </w:rPr>
        <w:t xml:space="preserve">, “Caesarean delivery rates and pregnancy outcomes: the 2005 WHO global survey on maternal and perinatal health in Latin America,” </w:t>
      </w:r>
      <w:r>
        <w:rPr>
          <w:i/>
          <w:iCs/>
          <w:sz w:val="16"/>
          <w:szCs w:val="16"/>
        </w:rPr>
        <w:t>The Lancet</w:t>
      </w:r>
      <w:r>
        <w:rPr>
          <w:sz w:val="16"/>
          <w:szCs w:val="16"/>
        </w:rPr>
        <w:t>, vol. 367, no. 9525, pp. 1819–1829, 2006, doi: 10.1016/S0140-6736(06)68704-7.</w:t>
      </w:r>
    </w:p>
    <w:p w14:paraId="6522E75C" w14:textId="77777777" w:rsidR="004F01D1" w:rsidRDefault="00000000">
      <w:pPr>
        <w:pStyle w:val="Bibliografa"/>
        <w:rPr>
          <w:sz w:val="16"/>
          <w:szCs w:val="16"/>
        </w:rPr>
      </w:pPr>
      <w:r>
        <w:rPr>
          <w:sz w:val="16"/>
          <w:szCs w:val="16"/>
        </w:rPr>
        <w:t>[24]</w:t>
      </w:r>
      <w:r>
        <w:rPr>
          <w:sz w:val="16"/>
          <w:szCs w:val="16"/>
        </w:rPr>
        <w:tab/>
        <w:t xml:space="preserve">J. Villar </w:t>
      </w:r>
      <w:r>
        <w:rPr>
          <w:i/>
          <w:iCs/>
          <w:sz w:val="16"/>
          <w:szCs w:val="16"/>
        </w:rPr>
        <w:t>et al.</w:t>
      </w:r>
      <w:r>
        <w:rPr>
          <w:sz w:val="16"/>
          <w:szCs w:val="16"/>
        </w:rPr>
        <w:t xml:space="preserve">, “Maternal and neonatal individual risks and benefits associated with caesarean delivery: multicentre prospective study,” </w:t>
      </w:r>
      <w:r>
        <w:rPr>
          <w:i/>
          <w:iCs/>
          <w:sz w:val="16"/>
          <w:szCs w:val="16"/>
        </w:rPr>
        <w:t>BMJ</w:t>
      </w:r>
      <w:r>
        <w:rPr>
          <w:sz w:val="16"/>
          <w:szCs w:val="16"/>
        </w:rPr>
        <w:t>, vol. 335, no. 7628, p. 1025, Nov. 2007, doi: 10.1136/bmj.39363.706956.55.</w:t>
      </w:r>
    </w:p>
    <w:p w14:paraId="0712971B" w14:textId="77777777" w:rsidR="004F01D1" w:rsidRDefault="00000000">
      <w:pPr>
        <w:pStyle w:val="Bibliografa"/>
        <w:rPr>
          <w:sz w:val="16"/>
          <w:szCs w:val="16"/>
        </w:rPr>
      </w:pPr>
      <w:r>
        <w:rPr>
          <w:sz w:val="16"/>
          <w:szCs w:val="16"/>
        </w:rPr>
        <w:t>[25]</w:t>
      </w:r>
      <w:r>
        <w:rPr>
          <w:sz w:val="16"/>
          <w:szCs w:val="16"/>
        </w:rPr>
        <w:tab/>
        <w:t xml:space="preserve">D. W. Hosmer, S. Lemeshow, and R. X. Sturdivant, </w:t>
      </w:r>
      <w:r>
        <w:rPr>
          <w:i/>
          <w:iCs/>
          <w:sz w:val="16"/>
          <w:szCs w:val="16"/>
        </w:rPr>
        <w:t>Applied Logistic Regression</w:t>
      </w:r>
      <w:r>
        <w:rPr>
          <w:sz w:val="16"/>
          <w:szCs w:val="16"/>
        </w:rPr>
        <w:t>, 3rd ed. Wiley, 2013.</w:t>
      </w:r>
    </w:p>
    <w:p w14:paraId="6F3BA2C0" w14:textId="77777777" w:rsidR="004F01D1" w:rsidRDefault="00000000">
      <w:pPr>
        <w:pStyle w:val="Bibliografa"/>
        <w:rPr>
          <w:sz w:val="16"/>
          <w:szCs w:val="16"/>
        </w:rPr>
      </w:pPr>
      <w:r>
        <w:rPr>
          <w:sz w:val="16"/>
          <w:szCs w:val="16"/>
        </w:rPr>
        <w:t>[26]</w:t>
      </w:r>
      <w:r>
        <w:rPr>
          <w:sz w:val="16"/>
          <w:szCs w:val="16"/>
        </w:rPr>
        <w:tab/>
        <w:t xml:space="preserve">P. Royston, </w:t>
      </w:r>
      <w:r>
        <w:rPr>
          <w:i/>
          <w:iCs/>
          <w:sz w:val="16"/>
          <w:szCs w:val="16"/>
        </w:rPr>
        <w:t>Multivariable model-building: a pragmatic approach to regression analysis based on fractional polynomials for modelling continuous variables</w:t>
      </w:r>
      <w:r>
        <w:rPr>
          <w:sz w:val="16"/>
          <w:szCs w:val="16"/>
        </w:rPr>
        <w:t>. in Wiley series in probability and statistics. Chichester, England: John Wiley, 2008.</w:t>
      </w:r>
    </w:p>
    <w:p w14:paraId="5DDF8593" w14:textId="77777777" w:rsidR="004F01D1" w:rsidRDefault="00000000">
      <w:pPr>
        <w:pStyle w:val="Bibliografa"/>
        <w:rPr>
          <w:sz w:val="16"/>
          <w:szCs w:val="16"/>
        </w:rPr>
      </w:pPr>
      <w:r>
        <w:rPr>
          <w:sz w:val="16"/>
          <w:szCs w:val="16"/>
        </w:rPr>
        <w:t>[27]</w:t>
      </w:r>
      <w:r>
        <w:rPr>
          <w:sz w:val="16"/>
          <w:szCs w:val="16"/>
        </w:rPr>
        <w:tab/>
        <w:t xml:space="preserve">S. Greenland, “Interactions in Epidemiology: Relevance, Identification, and Estimation,” </w:t>
      </w:r>
      <w:r>
        <w:rPr>
          <w:i/>
          <w:iCs/>
          <w:sz w:val="16"/>
          <w:szCs w:val="16"/>
        </w:rPr>
        <w:t>Epidemiology</w:t>
      </w:r>
      <w:r>
        <w:rPr>
          <w:sz w:val="16"/>
          <w:szCs w:val="16"/>
        </w:rPr>
        <w:t>, vol. 20, no. 1, pp. 14–17, Jan. 2009, doi: 10.1097/EDE.0b013e318193e7b5.</w:t>
      </w:r>
    </w:p>
    <w:p w14:paraId="631452E9" w14:textId="77777777" w:rsidR="004F01D1" w:rsidRDefault="00000000">
      <w:pPr>
        <w:pStyle w:val="Bibliografa"/>
        <w:rPr>
          <w:sz w:val="16"/>
          <w:szCs w:val="16"/>
        </w:rPr>
      </w:pPr>
      <w:r>
        <w:rPr>
          <w:sz w:val="16"/>
          <w:szCs w:val="16"/>
        </w:rPr>
        <w:t>[28]</w:t>
      </w:r>
      <w:r>
        <w:rPr>
          <w:sz w:val="16"/>
          <w:szCs w:val="16"/>
        </w:rPr>
        <w:tab/>
        <w:t xml:space="preserve">A. J. Vickers and E. B. Elkin, “Decision Curve Analysis: A Novel Method for Evaluating Prediction Models,” </w:t>
      </w:r>
      <w:r>
        <w:rPr>
          <w:i/>
          <w:iCs/>
          <w:sz w:val="16"/>
          <w:szCs w:val="16"/>
        </w:rPr>
        <w:t>Med. Decis. Making</w:t>
      </w:r>
      <w:r>
        <w:rPr>
          <w:sz w:val="16"/>
          <w:szCs w:val="16"/>
        </w:rPr>
        <w:t>, vol. 26, no. 6, pp. 565–574, 2006, doi: 10.1177/0272989X06295361.</w:t>
      </w:r>
    </w:p>
    <w:p w14:paraId="1DBD8DD0" w14:textId="77777777" w:rsidR="004F01D1" w:rsidRDefault="00000000">
      <w:pPr>
        <w:pStyle w:val="Bibliografa"/>
        <w:rPr>
          <w:sz w:val="16"/>
          <w:szCs w:val="16"/>
        </w:rPr>
      </w:pPr>
      <w:r>
        <w:rPr>
          <w:sz w:val="16"/>
          <w:szCs w:val="16"/>
        </w:rPr>
        <w:t>[29]</w:t>
      </w:r>
      <w:r>
        <w:rPr>
          <w:sz w:val="16"/>
          <w:szCs w:val="16"/>
        </w:rPr>
        <w:tab/>
        <w:t xml:space="preserve">C. Molnar, </w:t>
      </w:r>
      <w:r>
        <w:rPr>
          <w:i/>
          <w:iCs/>
          <w:sz w:val="16"/>
          <w:szCs w:val="16"/>
        </w:rPr>
        <w:t>Interpretable Machine Learning: A Guide for Making Black Box Models Explainable</w:t>
      </w:r>
      <w:r>
        <w:rPr>
          <w:sz w:val="16"/>
          <w:szCs w:val="16"/>
        </w:rPr>
        <w:t>, 3rd ed. Christoph Molnar, 2022. [Online]. Available: https://christophm.github.io/interpretable-ml-book/</w:t>
      </w:r>
    </w:p>
    <w:p w14:paraId="0BF61DE3" w14:textId="77777777" w:rsidR="004F01D1" w:rsidRDefault="00000000">
      <w:pPr>
        <w:pStyle w:val="Bibliografa"/>
        <w:rPr>
          <w:sz w:val="16"/>
          <w:szCs w:val="16"/>
        </w:rPr>
      </w:pPr>
      <w:r>
        <w:rPr>
          <w:sz w:val="16"/>
          <w:szCs w:val="16"/>
        </w:rPr>
        <w:t>[30]</w:t>
      </w:r>
      <w:r>
        <w:rPr>
          <w:sz w:val="16"/>
          <w:szCs w:val="16"/>
        </w:rPr>
        <w:tab/>
        <w:t xml:space="preserve">A. Rajkomar, M. Hardt, M. D. Howell, G. S. Corrado, and M. H. Chin, “Ensuring Fairness in Machine Learning to Advance Health Equity,” </w:t>
      </w:r>
      <w:r>
        <w:rPr>
          <w:i/>
          <w:iCs/>
          <w:sz w:val="16"/>
          <w:szCs w:val="16"/>
        </w:rPr>
        <w:t>Ann. Intern. Med.</w:t>
      </w:r>
      <w:r>
        <w:rPr>
          <w:sz w:val="16"/>
          <w:szCs w:val="16"/>
        </w:rPr>
        <w:t>, vol. 169, no. 12, pp. 866–872, 2018, doi: 10.7326/M18-1990.</w:t>
      </w:r>
    </w:p>
    <w:p w14:paraId="7BE53F37" w14:textId="77777777" w:rsidR="004F01D1" w:rsidRDefault="00000000">
      <w:pPr>
        <w:pStyle w:val="Bibliografa"/>
        <w:rPr>
          <w:sz w:val="16"/>
          <w:szCs w:val="16"/>
        </w:rPr>
      </w:pPr>
      <w:r>
        <w:rPr>
          <w:sz w:val="16"/>
          <w:szCs w:val="16"/>
        </w:rPr>
        <w:t>[31]</w:t>
      </w:r>
      <w:r>
        <w:rPr>
          <w:sz w:val="16"/>
          <w:szCs w:val="16"/>
        </w:rPr>
        <w:tab/>
        <w:t xml:space="preserve">J. G. Moreno-Torres, T. Raeder, R. Alaiz-Rodríguez, N. V. Chawla, and F. Herrera, “A unifying view on dataset shift in classification,” </w:t>
      </w:r>
      <w:r>
        <w:rPr>
          <w:i/>
          <w:iCs/>
          <w:sz w:val="16"/>
          <w:szCs w:val="16"/>
        </w:rPr>
        <w:t>Pattern Recognit.</w:t>
      </w:r>
      <w:r>
        <w:rPr>
          <w:sz w:val="16"/>
          <w:szCs w:val="16"/>
        </w:rPr>
        <w:t>, vol. 45, no. 1, pp. 521–530, Jan. 2012, doi: 10.1016/j.patcog.2011.06.019.</w:t>
      </w:r>
    </w:p>
    <w:p w14:paraId="24B71233" w14:textId="77777777" w:rsidR="004F01D1" w:rsidRDefault="00000000">
      <w:pPr>
        <w:pStyle w:val="Bibliografa"/>
        <w:rPr>
          <w:sz w:val="16"/>
          <w:szCs w:val="16"/>
          <w:lang w:val="es-PE"/>
        </w:rPr>
      </w:pPr>
      <w:r>
        <w:rPr>
          <w:sz w:val="16"/>
          <w:szCs w:val="16"/>
        </w:rPr>
        <w:t>[32]</w:t>
      </w:r>
      <w:r>
        <w:rPr>
          <w:sz w:val="16"/>
          <w:szCs w:val="16"/>
        </w:rPr>
        <w:tab/>
        <w:t xml:space="preserve">A. Koivu and M. Sairanen, “Predicting Risk of Stillbirth and Preterm Pregnancies with Machine Learning,” </w:t>
      </w:r>
      <w:r>
        <w:rPr>
          <w:i/>
          <w:iCs/>
          <w:sz w:val="16"/>
          <w:szCs w:val="16"/>
        </w:rPr>
        <w:t xml:space="preserve">Health Inf. Sci. </w:t>
      </w:r>
      <w:r>
        <w:rPr>
          <w:i/>
          <w:iCs/>
          <w:sz w:val="16"/>
          <w:szCs w:val="16"/>
          <w:lang w:val="es-PE"/>
        </w:rPr>
        <w:t>Syst.</w:t>
      </w:r>
      <w:r>
        <w:rPr>
          <w:sz w:val="16"/>
          <w:szCs w:val="16"/>
          <w:lang w:val="es-PE"/>
        </w:rPr>
        <w:t>, vol. 8, no. 1, p. 14, 2020, doi: 10.1007/s13755-020-00105-9.</w:t>
      </w:r>
    </w:p>
    <w:p w14:paraId="1E41F3B0" w14:textId="77777777" w:rsidR="004F01D1" w:rsidRDefault="00000000">
      <w:pPr>
        <w:pStyle w:val="Bibliografa"/>
        <w:rPr>
          <w:sz w:val="16"/>
          <w:szCs w:val="16"/>
          <w:lang w:val="es-PE"/>
        </w:rPr>
      </w:pPr>
      <w:r>
        <w:rPr>
          <w:sz w:val="16"/>
          <w:szCs w:val="16"/>
          <w:lang w:val="es-PE"/>
        </w:rPr>
        <w:t>[33]</w:t>
      </w:r>
      <w:r>
        <w:rPr>
          <w:sz w:val="16"/>
          <w:szCs w:val="16"/>
          <w:lang w:val="es-PE"/>
        </w:rPr>
        <w:tab/>
        <w:t xml:space="preserve">R. P. Cárdenas-Urrelo, “Modelo de intervención para mejorar los indicadores sanitarios maternos del seguro integral de salud peruano,” </w:t>
      </w:r>
      <w:r>
        <w:rPr>
          <w:i/>
          <w:iCs/>
          <w:sz w:val="16"/>
          <w:szCs w:val="16"/>
          <w:lang w:val="es-PE"/>
        </w:rPr>
        <w:t>Rev. Salud Amaz. Bienestar</w:t>
      </w:r>
      <w:r>
        <w:rPr>
          <w:sz w:val="16"/>
          <w:szCs w:val="16"/>
          <w:lang w:val="es-PE"/>
        </w:rPr>
        <w:t>, vol. 1, no. 1, p. e229, Jan. 2022, doi: 10.51252/rsayb.v1i1.229.</w:t>
      </w:r>
    </w:p>
    <w:p w14:paraId="632E7383" w14:textId="77777777" w:rsidR="004F01D1" w:rsidRDefault="00000000">
      <w:pPr>
        <w:pStyle w:val="Bibliografa"/>
        <w:rPr>
          <w:sz w:val="16"/>
          <w:szCs w:val="16"/>
        </w:rPr>
      </w:pPr>
      <w:r>
        <w:rPr>
          <w:sz w:val="16"/>
          <w:szCs w:val="16"/>
          <w:lang w:val="es-PE"/>
        </w:rPr>
        <w:t>[34]</w:t>
      </w:r>
      <w:r>
        <w:rPr>
          <w:sz w:val="16"/>
          <w:szCs w:val="16"/>
          <w:lang w:val="es-PE"/>
        </w:rPr>
        <w:tab/>
        <w:t xml:space="preserve">S. Parodi, “Evaluando los efectos del Seguro Integral de Salud (SIS) sobre la equidad en la salud materna en el contexto de barreras no económicas al acceso a los servicios,” </w:t>
      </w:r>
      <w:r>
        <w:rPr>
          <w:i/>
          <w:iCs/>
          <w:sz w:val="16"/>
          <w:szCs w:val="16"/>
          <w:lang w:val="es-PE"/>
        </w:rPr>
        <w:t>GRADE Manuscripte-Version Available Httpcies Org Pefilesactive0parodi Pdf</w:t>
      </w:r>
      <w:r>
        <w:rPr>
          <w:sz w:val="16"/>
          <w:szCs w:val="16"/>
          <w:lang w:val="es-PE"/>
        </w:rPr>
        <w:t xml:space="preserve">, 2005, [Online]. </w:t>
      </w:r>
      <w:r>
        <w:rPr>
          <w:sz w:val="16"/>
          <w:szCs w:val="16"/>
        </w:rPr>
        <w:t>Available: https://cies.org.pe/wp-content/uploads/2022/08/28451480-evaluando-los-efectos-del-seguro-integral-de-salud-sis.pdf</w:t>
      </w:r>
    </w:p>
    <w:p w14:paraId="08125ADC" w14:textId="77777777" w:rsidR="004F01D1" w:rsidRDefault="00000000">
      <w:pPr>
        <w:pStyle w:val="Bibliografa"/>
        <w:rPr>
          <w:sz w:val="16"/>
          <w:szCs w:val="16"/>
        </w:rPr>
      </w:pPr>
      <w:r>
        <w:rPr>
          <w:sz w:val="16"/>
          <w:szCs w:val="16"/>
        </w:rPr>
        <w:t>[35]</w:t>
      </w:r>
      <w:r>
        <w:rPr>
          <w:sz w:val="16"/>
          <w:szCs w:val="16"/>
        </w:rPr>
        <w:tab/>
        <w:t xml:space="preserve">W. F. D. Azevedo, M. B. Diniz, E. S. V. B. D. Fonseca, L. M. R. D. Azevedo, and C. B. Evangelista, “Complications in adolescent pregnancy: systematic review of the literature,” </w:t>
      </w:r>
      <w:r>
        <w:rPr>
          <w:i/>
          <w:iCs/>
          <w:sz w:val="16"/>
          <w:szCs w:val="16"/>
        </w:rPr>
        <w:t>Einstein São Paulo</w:t>
      </w:r>
      <w:r>
        <w:rPr>
          <w:sz w:val="16"/>
          <w:szCs w:val="16"/>
        </w:rPr>
        <w:t>, vol. 13, no. 4, pp. 618–626, Jun. 2015, doi: 10.1590/S1679-45082015RW3127.</w:t>
      </w:r>
    </w:p>
    <w:p w14:paraId="43345D79" w14:textId="77777777" w:rsidR="004F01D1" w:rsidRPr="00242749" w:rsidRDefault="00000000">
      <w:pPr>
        <w:pStyle w:val="Bibliografa"/>
        <w:rPr>
          <w:sz w:val="16"/>
          <w:szCs w:val="16"/>
          <w:lang w:val="es-PE"/>
        </w:rPr>
      </w:pPr>
      <w:r>
        <w:rPr>
          <w:sz w:val="16"/>
          <w:szCs w:val="16"/>
        </w:rPr>
        <w:t>[36]</w:t>
      </w:r>
      <w:r>
        <w:rPr>
          <w:sz w:val="16"/>
          <w:szCs w:val="16"/>
        </w:rPr>
        <w:tab/>
        <w:t xml:space="preserve">E. B. Gama Filho and others, “Is Adolescent Pregnancy a Risk Factor for Low Birth Weight?,” </w:t>
      </w:r>
      <w:r>
        <w:rPr>
          <w:i/>
          <w:iCs/>
          <w:sz w:val="16"/>
          <w:szCs w:val="16"/>
        </w:rPr>
        <w:t xml:space="preserve">Rev. Assoc. </w:t>
      </w:r>
      <w:r w:rsidRPr="00242749">
        <w:rPr>
          <w:i/>
          <w:iCs/>
          <w:sz w:val="16"/>
          <w:szCs w:val="16"/>
          <w:lang w:val="es-PE"/>
        </w:rPr>
        <w:t>Médica Bras.</w:t>
      </w:r>
      <w:r w:rsidRPr="00242749">
        <w:rPr>
          <w:sz w:val="16"/>
          <w:szCs w:val="16"/>
          <w:lang w:val="es-PE"/>
        </w:rPr>
        <w:t>, 2013, doi: 10.1590/S0034-89102013000100003.</w:t>
      </w:r>
    </w:p>
    <w:p w14:paraId="4AF2C399" w14:textId="77777777" w:rsidR="004F01D1" w:rsidRDefault="00000000">
      <w:pPr>
        <w:pStyle w:val="Bibliografa"/>
        <w:rPr>
          <w:sz w:val="16"/>
          <w:szCs w:val="16"/>
        </w:rPr>
      </w:pPr>
      <w:r>
        <w:rPr>
          <w:sz w:val="16"/>
          <w:szCs w:val="16"/>
          <w:lang w:val="es-PE"/>
        </w:rPr>
        <w:t>[37]</w:t>
      </w:r>
      <w:r>
        <w:rPr>
          <w:sz w:val="16"/>
          <w:szCs w:val="16"/>
          <w:lang w:val="es-PE"/>
        </w:rPr>
        <w:tab/>
        <w:t xml:space="preserve">J. Montalván-Santillán and D. Flores-Cortez, “Determinantes del Embarazo Adolescente en el Perú: Un Análisis Secundario de la Encuesta Demográfica y de Salud Familiar (ENDES) 2022,” </w:t>
      </w:r>
      <w:r>
        <w:rPr>
          <w:i/>
          <w:iCs/>
          <w:sz w:val="16"/>
          <w:szCs w:val="16"/>
          <w:lang w:val="es-PE"/>
        </w:rPr>
        <w:t xml:space="preserve">Rev. Int. </w:t>
      </w:r>
      <w:r>
        <w:rPr>
          <w:i/>
          <w:iCs/>
          <w:sz w:val="16"/>
          <w:szCs w:val="16"/>
        </w:rPr>
        <w:t>Salud Materno Fetal</w:t>
      </w:r>
      <w:r>
        <w:rPr>
          <w:sz w:val="16"/>
          <w:szCs w:val="16"/>
        </w:rPr>
        <w:t>, 2024.</w:t>
      </w:r>
    </w:p>
    <w:p w14:paraId="5E4699D9" w14:textId="77777777" w:rsidR="004F01D1" w:rsidRDefault="00000000">
      <w:pPr>
        <w:pStyle w:val="Bibliografa"/>
        <w:rPr>
          <w:sz w:val="16"/>
          <w:szCs w:val="16"/>
        </w:rPr>
      </w:pPr>
      <w:r>
        <w:rPr>
          <w:sz w:val="16"/>
          <w:szCs w:val="16"/>
        </w:rPr>
        <w:t>[38]</w:t>
      </w:r>
      <w:r>
        <w:rPr>
          <w:sz w:val="16"/>
          <w:szCs w:val="16"/>
        </w:rPr>
        <w:tab/>
        <w:t xml:space="preserve">Z. Obermeyer, B. Powers, C. Vogeli, and S. Mullainathan, “Dissecting Racial Bias in an Algorithm Used to Manage the Health of Populations,” </w:t>
      </w:r>
      <w:r>
        <w:rPr>
          <w:i/>
          <w:iCs/>
          <w:sz w:val="16"/>
          <w:szCs w:val="16"/>
        </w:rPr>
        <w:t>Science</w:t>
      </w:r>
      <w:r>
        <w:rPr>
          <w:sz w:val="16"/>
          <w:szCs w:val="16"/>
        </w:rPr>
        <w:t>, vol. 366, no. 6464, pp. 447–453, 2019, doi: 10.1126/science.aax2342.</w:t>
      </w:r>
    </w:p>
    <w:p w14:paraId="55890ECB" w14:textId="77777777" w:rsidR="004F01D1" w:rsidRDefault="00000000">
      <w:pPr>
        <w:pStyle w:val="Bibliografa"/>
        <w:rPr>
          <w:sz w:val="16"/>
          <w:szCs w:val="16"/>
        </w:rPr>
      </w:pPr>
      <w:r>
        <w:rPr>
          <w:sz w:val="16"/>
          <w:szCs w:val="16"/>
        </w:rPr>
        <w:t>[39]</w:t>
      </w:r>
      <w:r>
        <w:rPr>
          <w:sz w:val="16"/>
          <w:szCs w:val="16"/>
        </w:rPr>
        <w:tab/>
        <w:t xml:space="preserve">M. Hardt, E. Price, and N. Srebro, “Equality of Opportunity in Supervised Learning,” 2016, </w:t>
      </w:r>
      <w:r>
        <w:rPr>
          <w:i/>
          <w:iCs/>
          <w:sz w:val="16"/>
          <w:szCs w:val="16"/>
        </w:rPr>
        <w:t>arXiv</w:t>
      </w:r>
      <w:r>
        <w:rPr>
          <w:sz w:val="16"/>
          <w:szCs w:val="16"/>
        </w:rPr>
        <w:t>. doi: 10.48550/ARXIV.1610.02413.</w:t>
      </w:r>
    </w:p>
    <w:p w14:paraId="06097058" w14:textId="77777777" w:rsidR="004F01D1" w:rsidRDefault="00000000">
      <w:pPr>
        <w:pStyle w:val="Bibliografa"/>
        <w:rPr>
          <w:sz w:val="16"/>
          <w:szCs w:val="16"/>
        </w:rPr>
      </w:pPr>
      <w:r>
        <w:rPr>
          <w:sz w:val="16"/>
          <w:szCs w:val="16"/>
        </w:rPr>
        <w:t>[40]</w:t>
      </w:r>
      <w:r>
        <w:rPr>
          <w:sz w:val="16"/>
          <w:szCs w:val="16"/>
        </w:rPr>
        <w:tab/>
        <w:t xml:space="preserve">I. Y. Chen, E. Pierson, S. Rose, S. Joshi, K. Ferryman, and M. Ghassemi, “Ethical Machine Learning in Healthcare,” </w:t>
      </w:r>
      <w:r>
        <w:rPr>
          <w:i/>
          <w:iCs/>
          <w:sz w:val="16"/>
          <w:szCs w:val="16"/>
        </w:rPr>
        <w:t>Annu. Rev. Biomed. Data Sci.</w:t>
      </w:r>
      <w:r>
        <w:rPr>
          <w:sz w:val="16"/>
          <w:szCs w:val="16"/>
        </w:rPr>
        <w:t>, vol. 4, no. 1, pp. 123–144, Jul. 2021, doi: 10.1146/annurev-biodatasci-092820-114757.</w:t>
      </w:r>
    </w:p>
    <w:p w14:paraId="33279758" w14:textId="77777777" w:rsidR="004F01D1" w:rsidRDefault="00000000">
      <w:pPr>
        <w:pStyle w:val="Bibliografa"/>
        <w:rPr>
          <w:sz w:val="16"/>
          <w:szCs w:val="16"/>
        </w:rPr>
      </w:pPr>
      <w:r>
        <w:rPr>
          <w:sz w:val="16"/>
          <w:szCs w:val="16"/>
        </w:rPr>
        <w:t>[41]</w:t>
      </w:r>
      <w:r>
        <w:rPr>
          <w:sz w:val="16"/>
          <w:szCs w:val="16"/>
        </w:rPr>
        <w:tab/>
        <w:t xml:space="preserve">D. R. Roberts </w:t>
      </w:r>
      <w:r>
        <w:rPr>
          <w:i/>
          <w:iCs/>
          <w:sz w:val="16"/>
          <w:szCs w:val="16"/>
        </w:rPr>
        <w:t>et al.</w:t>
      </w:r>
      <w:r>
        <w:rPr>
          <w:sz w:val="16"/>
          <w:szCs w:val="16"/>
        </w:rPr>
        <w:t xml:space="preserve">, “Cross‐validation strategies for data with temporal, spatial, hierarchical, or phylogenetic structure,” </w:t>
      </w:r>
      <w:r>
        <w:rPr>
          <w:i/>
          <w:iCs/>
          <w:sz w:val="16"/>
          <w:szCs w:val="16"/>
        </w:rPr>
        <w:t>Ecography</w:t>
      </w:r>
      <w:r>
        <w:rPr>
          <w:sz w:val="16"/>
          <w:szCs w:val="16"/>
        </w:rPr>
        <w:t>, vol. 40, no. 8, pp. 913–929, Aug. 2017, doi: 10.1111/ecog.02881.</w:t>
      </w:r>
    </w:p>
    <w:p w14:paraId="10E5C75D" w14:textId="77777777" w:rsidR="004F01D1" w:rsidRDefault="00000000">
      <w:pPr>
        <w:pStyle w:val="Bibliografa"/>
        <w:rPr>
          <w:sz w:val="16"/>
          <w:szCs w:val="16"/>
        </w:rPr>
      </w:pPr>
      <w:r>
        <w:rPr>
          <w:sz w:val="16"/>
          <w:szCs w:val="16"/>
        </w:rPr>
        <w:t>[42]</w:t>
      </w:r>
      <w:r>
        <w:rPr>
          <w:sz w:val="16"/>
          <w:szCs w:val="16"/>
        </w:rPr>
        <w:tab/>
        <w:t xml:space="preserve">B. Van Calster, D. Nieboer, Y. Vergouwe, B. De Cock, M. J. Pencina, and E. W. Steyerberg, “A Calibration Hierarchy for Risk Models Was Defined: From Utopia to Empirical Data,” </w:t>
      </w:r>
      <w:r>
        <w:rPr>
          <w:i/>
          <w:iCs/>
          <w:sz w:val="16"/>
          <w:szCs w:val="16"/>
        </w:rPr>
        <w:t>J. Clin. Epidemiol.</w:t>
      </w:r>
      <w:r>
        <w:rPr>
          <w:sz w:val="16"/>
          <w:szCs w:val="16"/>
        </w:rPr>
        <w:t>, vol. 74, pp. 167–176, 2016, doi: 10.1016/j.jclinepi.2015.12.005.</w:t>
      </w:r>
    </w:p>
    <w:p w14:paraId="5A1DFDB2" w14:textId="77777777" w:rsidR="004F01D1" w:rsidRDefault="00000000">
      <w:pPr>
        <w:pStyle w:val="Bibliografa"/>
        <w:rPr>
          <w:sz w:val="16"/>
          <w:szCs w:val="16"/>
        </w:rPr>
      </w:pPr>
      <w:r>
        <w:rPr>
          <w:sz w:val="16"/>
          <w:szCs w:val="16"/>
        </w:rPr>
        <w:t>[43]</w:t>
      </w:r>
      <w:r>
        <w:rPr>
          <w:sz w:val="16"/>
          <w:szCs w:val="16"/>
        </w:rPr>
        <w:tab/>
        <w:t xml:space="preserve">B. Van Calster, D. J. McLernon, M. van Smeden, L. Wynants, and E. W. Steyerberg, “Calibration: The Achilles Heel of Predictive Analytics,” </w:t>
      </w:r>
      <w:r>
        <w:rPr>
          <w:i/>
          <w:iCs/>
          <w:sz w:val="16"/>
          <w:szCs w:val="16"/>
        </w:rPr>
        <w:t>BMC Med.</w:t>
      </w:r>
      <w:r>
        <w:rPr>
          <w:sz w:val="16"/>
          <w:szCs w:val="16"/>
        </w:rPr>
        <w:t>, vol. 17, p. 230, 2019, doi: 10.1186/s12916-019-1466-7.</w:t>
      </w:r>
    </w:p>
    <w:p w14:paraId="4B9A775F" w14:textId="77777777" w:rsidR="004F01D1" w:rsidRDefault="00000000">
      <w:pPr>
        <w:pStyle w:val="Bibliografa"/>
        <w:rPr>
          <w:sz w:val="16"/>
          <w:szCs w:val="16"/>
        </w:rPr>
      </w:pPr>
      <w:r>
        <w:rPr>
          <w:sz w:val="16"/>
          <w:szCs w:val="16"/>
        </w:rPr>
        <w:t>[44]</w:t>
      </w:r>
      <w:r>
        <w:rPr>
          <w:sz w:val="16"/>
          <w:szCs w:val="16"/>
        </w:rPr>
        <w:tab/>
        <w:t xml:space="preserve">C. J. Kelly, A. Karthikesalingam, M. Suleyman, G. Corrado, and D. King, “Key challenges for delivering clinical impact with artificial intelligence,” </w:t>
      </w:r>
      <w:r>
        <w:rPr>
          <w:i/>
          <w:iCs/>
          <w:sz w:val="16"/>
          <w:szCs w:val="16"/>
        </w:rPr>
        <w:t>BMC Med.</w:t>
      </w:r>
      <w:r>
        <w:rPr>
          <w:sz w:val="16"/>
          <w:szCs w:val="16"/>
        </w:rPr>
        <w:t>, vol. 17, no. 1, p. 195, Dec. 2019, doi: 10.1186/s12916-019-1426-2.</w:t>
      </w:r>
    </w:p>
    <w:p w14:paraId="7FE24BF4" w14:textId="77777777" w:rsidR="004F01D1" w:rsidRDefault="00000000">
      <w:pPr>
        <w:snapToGrid w:val="0"/>
        <w:ind w:firstLine="360"/>
      </w:pPr>
      <w:r>
        <w:rPr>
          <w:sz w:val="16"/>
          <w:szCs w:val="16"/>
        </w:rPr>
        <w:fldChar w:fldCharType="end"/>
      </w:r>
    </w:p>
    <w:sectPr w:rsidR="004F01D1">
      <w:type w:val="continuous"/>
      <w:pgSz w:w="12240" w:h="15840"/>
      <w:pgMar w:top="1080" w:right="900" w:bottom="1440" w:left="900" w:header="0" w:footer="720" w:gutter="0"/>
      <w:cols w:num="2" w:space="36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48F0" w14:textId="77777777" w:rsidR="0038585A" w:rsidRDefault="0038585A">
      <w:r>
        <w:separator/>
      </w:r>
    </w:p>
  </w:endnote>
  <w:endnote w:type="continuationSeparator" w:id="0">
    <w:p w14:paraId="144BB7E0" w14:textId="77777777" w:rsidR="0038585A" w:rsidRDefault="00385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2A28" w14:textId="77777777" w:rsidR="004F01D1" w:rsidRDefault="004F01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F323" w14:textId="77777777" w:rsidR="004F01D1" w:rsidRDefault="00000000">
    <w:pPr>
      <w:pStyle w:val="Piedepgina"/>
      <w:tabs>
        <w:tab w:val="clear" w:pos="4680"/>
        <w:tab w:val="clear" w:pos="9360"/>
        <w:tab w:val="right" w:pos="10440"/>
      </w:tabs>
      <w:rPr>
        <w:bCs/>
        <w:sz w:val="14"/>
        <w:szCs w:val="14"/>
      </w:rPr>
    </w:pPr>
    <w:r>
      <w:rPr>
        <w:b/>
        <w:sz w:val="14"/>
        <w:szCs w:val="14"/>
      </w:rPr>
      <w:t>24</w:t>
    </w:r>
    <w:r>
      <w:rPr>
        <w:b/>
        <w:sz w:val="14"/>
        <w:szCs w:val="14"/>
        <w:vertAlign w:val="superscript"/>
      </w:rPr>
      <w:t>th</w:t>
    </w:r>
    <w:r>
      <w:rPr>
        <w:b/>
        <w:sz w:val="14"/>
        <w:szCs w:val="14"/>
      </w:rPr>
      <w:t xml:space="preserve"> LACCEI International Multi-Conference for Engineering, Education, and Technology: “</w:t>
    </w:r>
    <w:r>
      <w:rPr>
        <w:bCs/>
        <w:i/>
        <w:iCs/>
        <w:sz w:val="14"/>
        <w:szCs w:val="14"/>
      </w:rPr>
      <w:t>Engineering without Borders: Artificial Intelligence, Knowledge, Innovation, and Alliances for a Future from the Americas</w:t>
    </w:r>
    <w:r>
      <w:rPr>
        <w:b/>
        <w:sz w:val="14"/>
        <w:szCs w:val="14"/>
      </w:rPr>
      <w:t>”</w:t>
    </w:r>
    <w:r>
      <w:rPr>
        <w:bCs/>
        <w:i/>
        <w:iCs/>
        <w:sz w:val="14"/>
        <w:szCs w:val="14"/>
      </w:rPr>
      <w:t>.</w:t>
    </w:r>
    <w:r>
      <w:rPr>
        <w:b/>
        <w:sz w:val="14"/>
        <w:szCs w:val="14"/>
      </w:rPr>
      <w:t xml:space="preserve"> </w:t>
    </w:r>
    <w:r>
      <w:rPr>
        <w:bCs/>
        <w:sz w:val="14"/>
        <w:szCs w:val="14"/>
      </w:rPr>
      <w:t>Hybrid Event, Santiago-Chile, July 15 - 17, 2026</w:t>
    </w:r>
  </w:p>
  <w:p w14:paraId="5EF36B8A" w14:textId="77777777" w:rsidR="004F01D1" w:rsidRDefault="00000000">
    <w:pPr>
      <w:pStyle w:val="Piedepgina"/>
      <w:tabs>
        <w:tab w:val="clear" w:pos="4680"/>
        <w:tab w:val="clear" w:pos="9360"/>
        <w:tab w:val="right" w:pos="10440"/>
      </w:tabs>
      <w:jc w:val="right"/>
      <w:rPr>
        <w:i/>
        <w:sz w:val="16"/>
        <w:szCs w:val="18"/>
      </w:rPr>
    </w:pP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97E0" w14:textId="77777777" w:rsidR="004F01D1" w:rsidRDefault="00000000">
    <w:pPr>
      <w:pStyle w:val="Piedepgina"/>
      <w:tabs>
        <w:tab w:val="clear" w:pos="4680"/>
        <w:tab w:val="clear" w:pos="9360"/>
        <w:tab w:val="right" w:pos="10440"/>
      </w:tabs>
      <w:rPr>
        <w:bCs/>
        <w:sz w:val="14"/>
        <w:szCs w:val="14"/>
      </w:rPr>
    </w:pPr>
    <w:r>
      <w:rPr>
        <w:b/>
        <w:sz w:val="14"/>
        <w:szCs w:val="14"/>
      </w:rPr>
      <w:t>24</w:t>
    </w:r>
    <w:r>
      <w:rPr>
        <w:b/>
        <w:sz w:val="14"/>
        <w:szCs w:val="14"/>
        <w:vertAlign w:val="superscript"/>
      </w:rPr>
      <w:t>th</w:t>
    </w:r>
    <w:r>
      <w:rPr>
        <w:b/>
        <w:sz w:val="14"/>
        <w:szCs w:val="14"/>
      </w:rPr>
      <w:t xml:space="preserve"> LACCEI International Multi-Conference for Engineering, Education, and Technology: “</w:t>
    </w:r>
    <w:r>
      <w:rPr>
        <w:bCs/>
        <w:i/>
        <w:iCs/>
        <w:sz w:val="14"/>
        <w:szCs w:val="14"/>
      </w:rPr>
      <w:t>Engineering without Borders: Artificial Intelligence, Knowledge, Innovation, and Alliances for a Future from the Americas</w:t>
    </w:r>
    <w:r>
      <w:rPr>
        <w:b/>
        <w:sz w:val="14"/>
        <w:szCs w:val="14"/>
      </w:rPr>
      <w:t>”</w:t>
    </w:r>
    <w:r>
      <w:rPr>
        <w:bCs/>
        <w:i/>
        <w:iCs/>
        <w:sz w:val="14"/>
        <w:szCs w:val="14"/>
      </w:rPr>
      <w:t>.</w:t>
    </w:r>
    <w:r>
      <w:rPr>
        <w:b/>
        <w:sz w:val="14"/>
        <w:szCs w:val="14"/>
      </w:rPr>
      <w:t xml:space="preserve"> </w:t>
    </w:r>
    <w:r>
      <w:rPr>
        <w:bCs/>
        <w:sz w:val="14"/>
        <w:szCs w:val="14"/>
      </w:rPr>
      <w:t>Hybrid Event, Santiago-Chile, July 15 - 17, 2026</w:t>
    </w:r>
  </w:p>
  <w:p w14:paraId="4D5129D1" w14:textId="77777777" w:rsidR="004F01D1" w:rsidRDefault="00000000">
    <w:pPr>
      <w:pStyle w:val="Piedepgina"/>
      <w:tabs>
        <w:tab w:val="clear" w:pos="4680"/>
        <w:tab w:val="clear" w:pos="9360"/>
        <w:tab w:val="right" w:pos="10440"/>
      </w:tabs>
      <w:jc w:val="right"/>
      <w:rPr>
        <w:i/>
        <w:sz w:val="16"/>
        <w:szCs w:val="18"/>
      </w:rPr>
    </w:pP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4521" w14:textId="77777777" w:rsidR="0038585A" w:rsidRDefault="0038585A">
      <w:r>
        <w:separator/>
      </w:r>
    </w:p>
  </w:footnote>
  <w:footnote w:type="continuationSeparator" w:id="0">
    <w:p w14:paraId="56FC7010" w14:textId="77777777" w:rsidR="0038585A" w:rsidRDefault="003858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1D61"/>
    <w:multiLevelType w:val="multilevel"/>
    <w:tmpl w:val="A4EEDC5A"/>
    <w:lvl w:ilvl="0">
      <w:start w:val="1"/>
      <w:numFmt w:val="decimal"/>
      <w:pStyle w:val="Referenceentry"/>
      <w:lvlText w:val="[%1]"/>
      <w:lvlJc w:val="left"/>
      <w:pPr>
        <w:tabs>
          <w:tab w:val="num" w:pos="360"/>
        </w:tabs>
        <w:ind w:left="360" w:hanging="36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5A4D1439"/>
    <w:multiLevelType w:val="multilevel"/>
    <w:tmpl w:val="118455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6C3735B9"/>
    <w:multiLevelType w:val="multilevel"/>
    <w:tmpl w:val="6FF462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1004937">
    <w:abstractNumId w:val="0"/>
  </w:num>
  <w:num w:numId="2" w16cid:durableId="332998385">
    <w:abstractNumId w:val="1"/>
  </w:num>
  <w:num w:numId="3" w16cid:durableId="10491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46"/>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1"/>
    <w:rsid w:val="00242749"/>
    <w:rsid w:val="0038585A"/>
    <w:rsid w:val="004F01D1"/>
    <w:rsid w:val="00674F38"/>
    <w:rsid w:val="00AC0E8E"/>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E9C1"/>
  <w15:docId w15:val="{DFA53D01-B287-4A42-A78A-1FDD5126A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16D"/>
    <w:pPr>
      <w:ind w:firstLine="357"/>
      <w:jc w:val="both"/>
      <w:textAlignment w:val="baseline"/>
    </w:pPr>
    <w:rPr>
      <w:rFonts w:ascii="Times" w:eastAsia="PMingLiU" w:hAnsi="Times" w:cs="Times"/>
      <w:lang w:val="en-US" w:eastAsia="zh-TW"/>
    </w:rPr>
  </w:style>
  <w:style w:type="paragraph" w:styleId="Ttulo1">
    <w:name w:val="heading 1"/>
    <w:basedOn w:val="Normal"/>
    <w:next w:val="DefaultParagraphFont1"/>
    <w:autoRedefine/>
    <w:qFormat/>
    <w:rsid w:val="006622A1"/>
    <w:pPr>
      <w:snapToGrid w:val="0"/>
      <w:spacing w:before="60" w:after="120"/>
      <w:ind w:firstLine="0"/>
      <w:jc w:val="center"/>
      <w:outlineLvl w:val="0"/>
    </w:pPr>
    <w:rPr>
      <w:rFonts w:ascii="Times New Roman" w:hAnsi="Times New Roman" w:cs="Times New Roman"/>
      <w:smallCaps/>
    </w:rPr>
  </w:style>
  <w:style w:type="paragraph" w:styleId="Ttulo2">
    <w:name w:val="heading 2"/>
    <w:basedOn w:val="Normal"/>
    <w:next w:val="DefaultParagraphFont1"/>
    <w:autoRedefine/>
    <w:qFormat/>
    <w:rsid w:val="00D5316D"/>
    <w:pPr>
      <w:snapToGrid w:val="0"/>
      <w:spacing w:before="60"/>
      <w:ind w:firstLine="0"/>
      <w:outlineLvl w:val="1"/>
    </w:pPr>
    <w:rPr>
      <w:rFonts w:ascii="Times New Roman" w:hAnsi="Times New Roman" w:cs="Times New Roman"/>
      <w:i/>
    </w:rPr>
  </w:style>
  <w:style w:type="paragraph" w:styleId="Ttulo3">
    <w:name w:val="heading 3"/>
    <w:basedOn w:val="DefaultParagraphFont1"/>
    <w:next w:val="DefaultParagraphFont1"/>
    <w:autoRedefine/>
    <w:qFormat/>
    <w:rsid w:val="006F0B21"/>
    <w:pPr>
      <w:keepNext/>
      <w:spacing w:before="60" w:after="60"/>
      <w:ind w:firstLine="357"/>
      <w:outlineLvl w:val="2"/>
    </w:pPr>
    <w:rPr>
      <w:szCs w:val="24"/>
      <w:lang w:val="es-PE" w:eastAsia="en-US"/>
    </w:rPr>
  </w:style>
  <w:style w:type="paragraph" w:styleId="Ttulo4">
    <w:name w:val="heading 4"/>
    <w:basedOn w:val="Normal"/>
    <w:next w:val="Normal"/>
    <w:link w:val="Ttulo4Car"/>
    <w:uiPriority w:val="9"/>
    <w:semiHidden/>
    <w:unhideWhenUsed/>
    <w:qFormat/>
    <w:rsid w:val="008D5CBE"/>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8D5CBE"/>
    <w:p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sfaddress">
    <w:name w:val="nsfaddress"/>
    <w:basedOn w:val="Fuentedeprrafopredeter"/>
    <w:qFormat/>
    <w:rsid w:val="00260E28"/>
  </w:style>
  <w:style w:type="character" w:styleId="Hipervnculo">
    <w:name w:val="Hyperlink"/>
    <w:rsid w:val="00964252"/>
    <w:rPr>
      <w:color w:val="auto"/>
      <w:u w:val="single"/>
    </w:rPr>
  </w:style>
  <w:style w:type="character" w:styleId="Fuerte">
    <w:name w:val="Strong"/>
    <w:uiPriority w:val="22"/>
    <w:qFormat/>
    <w:rsid w:val="008D20D2"/>
    <w:rPr>
      <w:b/>
      <w:bCs/>
    </w:rPr>
  </w:style>
  <w:style w:type="character" w:customStyle="1" w:styleId="Caracteresdenotaalpieuser">
    <w:name w:val="Caracteres de nota al pie (user)"/>
    <w:semiHidden/>
    <w:qFormat/>
    <w:rsid w:val="00D74E82"/>
    <w:rPr>
      <w:vertAlign w:val="superscript"/>
    </w:rPr>
  </w:style>
  <w:style w:type="character" w:customStyle="1" w:styleId="Caracteresdenotaalpie">
    <w:name w:val="Caracteres de nota al pie"/>
    <w:qFormat/>
    <w:rPr>
      <w:vertAlign w:val="superscript"/>
    </w:rPr>
  </w:style>
  <w:style w:type="character" w:styleId="Refdenotaalpie">
    <w:name w:val="footnote reference"/>
    <w:rPr>
      <w:vertAlign w:val="superscript"/>
    </w:rPr>
  </w:style>
  <w:style w:type="character" w:customStyle="1" w:styleId="IEEEAbtractChar">
    <w:name w:val="IEEE Abtract Char"/>
    <w:link w:val="IEEEAbtract"/>
    <w:qFormat/>
    <w:rsid w:val="00956702"/>
    <w:rPr>
      <w:b/>
      <w:sz w:val="18"/>
      <w:szCs w:val="24"/>
      <w:lang w:val="en-GB" w:eastAsia="en-GB"/>
    </w:rPr>
  </w:style>
  <w:style w:type="character" w:customStyle="1" w:styleId="EncabezadoCar">
    <w:name w:val="Encabezado Car"/>
    <w:link w:val="Encabezado"/>
    <w:uiPriority w:val="99"/>
    <w:qFormat/>
    <w:rsid w:val="00956702"/>
    <w:rPr>
      <w:rFonts w:ascii="Times" w:eastAsia="PMingLiU" w:hAnsi="Times" w:cs="Times"/>
      <w:lang w:val="en-AU" w:eastAsia="zh-TW"/>
    </w:rPr>
  </w:style>
  <w:style w:type="character" w:customStyle="1" w:styleId="PiedepginaCar">
    <w:name w:val="Pie de página Car"/>
    <w:link w:val="Piedepgina"/>
    <w:uiPriority w:val="99"/>
    <w:qFormat/>
    <w:rsid w:val="00956702"/>
    <w:rPr>
      <w:rFonts w:ascii="Times" w:eastAsia="PMingLiU" w:hAnsi="Times" w:cs="Times"/>
      <w:lang w:val="en-AU" w:eastAsia="zh-TW"/>
    </w:rPr>
  </w:style>
  <w:style w:type="character" w:customStyle="1" w:styleId="TtuloCar">
    <w:name w:val="Título Car"/>
    <w:link w:val="Ttulo"/>
    <w:uiPriority w:val="10"/>
    <w:qFormat/>
    <w:rsid w:val="00707E84"/>
    <w:rPr>
      <w:rFonts w:eastAsia="PMingLiU"/>
      <w:bCs/>
      <w:sz w:val="48"/>
      <w:szCs w:val="48"/>
      <w:lang w:eastAsia="zh-TW"/>
    </w:rPr>
  </w:style>
  <w:style w:type="character" w:customStyle="1" w:styleId="IEEEAuthorNameChar">
    <w:name w:val="IEEE Author Name Char"/>
    <w:link w:val="IEEEAuthorName"/>
    <w:qFormat/>
    <w:rsid w:val="00F14320"/>
    <w:rPr>
      <w:rFonts w:eastAsia="Times New Roman"/>
      <w:sz w:val="22"/>
      <w:szCs w:val="24"/>
      <w:lang w:val="en-GB" w:eastAsia="en-GB"/>
    </w:rPr>
  </w:style>
  <w:style w:type="character" w:customStyle="1" w:styleId="AuthorsChar">
    <w:name w:val="Authors Char"/>
    <w:basedOn w:val="IEEEAuthorNameChar"/>
    <w:link w:val="Authors"/>
    <w:qFormat/>
    <w:rsid w:val="00F14320"/>
    <w:rPr>
      <w:rFonts w:eastAsia="Times New Roman"/>
      <w:sz w:val="22"/>
      <w:szCs w:val="24"/>
      <w:lang w:val="en-GB" w:eastAsia="en-GB"/>
    </w:rPr>
  </w:style>
  <w:style w:type="character" w:customStyle="1" w:styleId="IEEEAuthorAffiliationChar">
    <w:name w:val="IEEE Author Affiliation Char"/>
    <w:link w:val="IEEEAuthorAffiliation"/>
    <w:qFormat/>
    <w:rsid w:val="00F14320"/>
    <w:rPr>
      <w:rFonts w:eastAsia="Times New Roman"/>
      <w:i/>
      <w:szCs w:val="24"/>
      <w:lang w:val="en-GB" w:eastAsia="en-GB"/>
    </w:rPr>
  </w:style>
  <w:style w:type="character" w:customStyle="1" w:styleId="InstitutionandEmailChar">
    <w:name w:val="Institution and Email Char"/>
    <w:link w:val="InstitutionandEmail"/>
    <w:qFormat/>
    <w:rsid w:val="000D636D"/>
    <w:rPr>
      <w:rFonts w:ascii="Times" w:eastAsia="PMingLiU" w:hAnsi="Times" w:cs="Times"/>
      <w:i/>
      <w:szCs w:val="24"/>
      <w:lang w:val="en-AU" w:eastAsia="zh-TW"/>
    </w:rPr>
  </w:style>
  <w:style w:type="character" w:customStyle="1" w:styleId="AbstractandKeywordsChar">
    <w:name w:val="Abstract and Keywords Char"/>
    <w:link w:val="AbstractandKeywords"/>
    <w:qFormat/>
    <w:rsid w:val="000D636D"/>
    <w:rPr>
      <w:rFonts w:ascii="Times" w:eastAsia="PMingLiU" w:hAnsi="Times" w:cs="Times"/>
      <w:b/>
      <w:i/>
      <w:sz w:val="18"/>
      <w:szCs w:val="18"/>
      <w:lang w:val="en-GB" w:eastAsia="zh-TW"/>
    </w:rPr>
  </w:style>
  <w:style w:type="character" w:customStyle="1" w:styleId="TableCaptionChar">
    <w:name w:val="Table Caption Char"/>
    <w:link w:val="TableCaption"/>
    <w:qFormat/>
    <w:rsid w:val="00C5368D"/>
    <w:rPr>
      <w:rFonts w:eastAsia="PMingLiU"/>
      <w:smallCaps/>
      <w:sz w:val="16"/>
      <w:szCs w:val="16"/>
      <w:lang w:val="en-US" w:eastAsia="zh-TW"/>
    </w:rPr>
  </w:style>
  <w:style w:type="character" w:styleId="Refdecomentario">
    <w:name w:val="annotation reference"/>
    <w:uiPriority w:val="99"/>
    <w:semiHidden/>
    <w:unhideWhenUsed/>
    <w:qFormat/>
    <w:rsid w:val="003345DD"/>
    <w:rPr>
      <w:sz w:val="16"/>
      <w:szCs w:val="16"/>
    </w:rPr>
  </w:style>
  <w:style w:type="character" w:customStyle="1" w:styleId="ReferenceentryChar">
    <w:name w:val="Reference entry Char"/>
    <w:link w:val="Referenceentry"/>
    <w:qFormat/>
    <w:rsid w:val="00FC1463"/>
    <w:rPr>
      <w:sz w:val="16"/>
      <w:szCs w:val="16"/>
      <w:lang w:eastAsia="zh-CN"/>
    </w:rPr>
  </w:style>
  <w:style w:type="character" w:customStyle="1" w:styleId="TextocomentarioCar">
    <w:name w:val="Texto comentario Car"/>
    <w:link w:val="Textocomentario"/>
    <w:uiPriority w:val="99"/>
    <w:semiHidden/>
    <w:qFormat/>
    <w:rsid w:val="003345DD"/>
    <w:rPr>
      <w:rFonts w:ascii="Times" w:eastAsia="PMingLiU" w:hAnsi="Times" w:cs="Times"/>
      <w:lang w:val="en-AU" w:eastAsia="zh-TW"/>
    </w:rPr>
  </w:style>
  <w:style w:type="character" w:customStyle="1" w:styleId="AsuntodelcomentarioCar">
    <w:name w:val="Asunto del comentario Car"/>
    <w:link w:val="Asuntodelcomentario"/>
    <w:uiPriority w:val="99"/>
    <w:semiHidden/>
    <w:qFormat/>
    <w:rsid w:val="003345DD"/>
    <w:rPr>
      <w:rFonts w:ascii="Times" w:eastAsia="PMingLiU" w:hAnsi="Times" w:cs="Times"/>
      <w:b/>
      <w:bCs/>
      <w:lang w:val="en-AU" w:eastAsia="zh-TW"/>
    </w:rPr>
  </w:style>
  <w:style w:type="character" w:customStyle="1" w:styleId="FigureCaptionChar">
    <w:name w:val="Figure Caption Char"/>
    <w:link w:val="FigureCaption"/>
    <w:uiPriority w:val="99"/>
    <w:qFormat/>
    <w:rsid w:val="0052305E"/>
    <w:rPr>
      <w:rFonts w:ascii="Times" w:eastAsia="Times New Roman" w:hAnsi="Times"/>
      <w:sz w:val="16"/>
      <w:szCs w:val="16"/>
      <w:lang w:eastAsia="en-US"/>
    </w:rPr>
  </w:style>
  <w:style w:type="character" w:customStyle="1" w:styleId="Ttulo4Car">
    <w:name w:val="Título 4 Car"/>
    <w:link w:val="Ttulo4"/>
    <w:uiPriority w:val="9"/>
    <w:semiHidden/>
    <w:qFormat/>
    <w:rsid w:val="008D5CBE"/>
    <w:rPr>
      <w:rFonts w:ascii="Calibri" w:eastAsia="Times New Roman" w:hAnsi="Calibri" w:cs="Times New Roman"/>
      <w:b/>
      <w:bCs/>
      <w:sz w:val="28"/>
      <w:szCs w:val="28"/>
      <w:lang w:val="en-AU" w:eastAsia="zh-TW"/>
    </w:rPr>
  </w:style>
  <w:style w:type="character" w:customStyle="1" w:styleId="Ttulo5Car">
    <w:name w:val="Título 5 Car"/>
    <w:link w:val="Ttulo5"/>
    <w:uiPriority w:val="9"/>
    <w:semiHidden/>
    <w:qFormat/>
    <w:rsid w:val="008D5CBE"/>
    <w:rPr>
      <w:rFonts w:ascii="Calibri" w:eastAsia="Times New Roman" w:hAnsi="Calibri" w:cs="Times New Roman"/>
      <w:b/>
      <w:bCs/>
      <w:i/>
      <w:iCs/>
      <w:sz w:val="26"/>
      <w:szCs w:val="26"/>
      <w:lang w:val="en-AU" w:eastAsia="zh-TW"/>
    </w:rPr>
  </w:style>
  <w:style w:type="character" w:styleId="Mencinsinresolver">
    <w:name w:val="Unresolved Mention"/>
    <w:uiPriority w:val="99"/>
    <w:semiHidden/>
    <w:unhideWhenUsed/>
    <w:qFormat/>
    <w:rsid w:val="008406DE"/>
    <w:rPr>
      <w:color w:val="605E5C"/>
      <w:shd w:val="clear" w:color="auto" w:fill="E1DFDD"/>
    </w:rPr>
  </w:style>
  <w:style w:type="character" w:styleId="Textodelmarcadordeposicin">
    <w:name w:val="Placeholder Text"/>
    <w:basedOn w:val="Fuentedeprrafopredeter"/>
    <w:uiPriority w:val="99"/>
    <w:semiHidden/>
    <w:qFormat/>
    <w:rsid w:val="00EA4645"/>
    <w:rPr>
      <w:color w:val="666666"/>
    </w:rPr>
  </w:style>
  <w:style w:type="character" w:customStyle="1" w:styleId="variableCar">
    <w:name w:val="variable Car"/>
    <w:basedOn w:val="Fuentedeprrafopredeter"/>
    <w:link w:val="variable"/>
    <w:qFormat/>
    <w:rsid w:val="00F364D3"/>
    <w:rPr>
      <w:rFonts w:ascii="Consolas" w:eastAsia="PMingLiU" w:hAnsi="Consolas" w:cs="Times"/>
      <w:smallCaps/>
      <w:sz w:val="16"/>
      <w:lang w:eastAsia="en-US"/>
    </w:rPr>
  </w:style>
  <w:style w:type="character" w:customStyle="1" w:styleId="NotaTablaCar">
    <w:name w:val="Nota Tabla Car"/>
    <w:basedOn w:val="Fuentedeprrafopredeter"/>
    <w:link w:val="NotaTabla"/>
    <w:qFormat/>
    <w:rsid w:val="00E232D5"/>
    <w:rPr>
      <w:rFonts w:ascii="Times" w:eastAsia="PMingLiU" w:hAnsi="Times" w:cs="Times"/>
      <w:i/>
      <w:iCs/>
      <w:sz w:val="16"/>
      <w:lang w:eastAsia="en-US"/>
    </w:rPr>
  </w:style>
  <w:style w:type="character" w:styleId="nfasis">
    <w:name w:val="Emphasis"/>
    <w:basedOn w:val="Fuentedeprrafopredeter"/>
    <w:uiPriority w:val="20"/>
    <w:qFormat/>
    <w:rsid w:val="00361EF1"/>
    <w:rPr>
      <w:i/>
      <w:iCs/>
    </w:rPr>
  </w:style>
  <w:style w:type="paragraph" w:styleId="Ttulo">
    <w:name w:val="Title"/>
    <w:basedOn w:val="DefaultParagraphFont1"/>
    <w:next w:val="Textoindependiente"/>
    <w:link w:val="TtuloCar"/>
    <w:uiPriority w:val="10"/>
    <w:qFormat/>
    <w:rsid w:val="00707E84"/>
    <w:pPr>
      <w:jc w:val="center"/>
    </w:pPr>
    <w:rPr>
      <w:rFonts w:ascii="Times New Roman" w:hAnsi="Times New Roman" w:cs="Times New Roman"/>
      <w:bCs/>
      <w:sz w:val="48"/>
      <w:szCs w:val="4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ndiceuser">
    <w:name w:val="Índice (user)"/>
    <w:basedOn w:val="Normal"/>
    <w:qFormat/>
    <w:pPr>
      <w:suppressLineNumbers/>
    </w:pPr>
    <w:rPr>
      <w:rFonts w:cs="Lucida Sans"/>
    </w:rPr>
  </w:style>
  <w:style w:type="paragraph" w:customStyle="1" w:styleId="DefaultParagraphFont1">
    <w:name w:val="Default Paragraph Font1"/>
    <w:next w:val="Normal"/>
    <w:qFormat/>
    <w:pPr>
      <w:textAlignment w:val="baseline"/>
    </w:pPr>
    <w:rPr>
      <w:rFonts w:ascii="Times" w:eastAsia="PMingLiU" w:hAnsi="Times" w:cs="Times"/>
      <w:lang w:val="en-US" w:eastAsia="zh-TW"/>
    </w:rPr>
  </w:style>
  <w:style w:type="paragraph" w:styleId="Sangranormal">
    <w:name w:val="Normal Indent"/>
    <w:basedOn w:val="Normal"/>
    <w:qFormat/>
    <w:pPr>
      <w:ind w:left="720"/>
    </w:pPr>
  </w:style>
  <w:style w:type="paragraph" w:styleId="Textonotapie">
    <w:name w:val="footnote text"/>
    <w:basedOn w:val="Normal"/>
    <w:semiHidden/>
    <w:rsid w:val="00D74E82"/>
  </w:style>
  <w:style w:type="paragraph" w:styleId="Textodeglobo">
    <w:name w:val="Balloon Text"/>
    <w:basedOn w:val="Normal"/>
    <w:semiHidden/>
    <w:qFormat/>
    <w:rsid w:val="000B3D72"/>
    <w:rPr>
      <w:rFonts w:ascii="Arial" w:hAnsi="Arial" w:cs="Times New Roman"/>
      <w:sz w:val="16"/>
      <w:szCs w:val="16"/>
    </w:rPr>
  </w:style>
  <w:style w:type="paragraph" w:customStyle="1" w:styleId="IEEEAuthorName">
    <w:name w:val="IEEE Author Name"/>
    <w:basedOn w:val="Normal"/>
    <w:next w:val="Normal"/>
    <w:link w:val="IEEEAuthorNameChar"/>
    <w:qFormat/>
    <w:rsid w:val="00891B98"/>
    <w:pPr>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qFormat/>
    <w:rsid w:val="00891B98"/>
    <w:pPr>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qFormat/>
    <w:rsid w:val="00956702"/>
    <w:pPr>
      <w:snapToGrid w:val="0"/>
      <w:textAlignment w:val="auto"/>
    </w:pPr>
    <w:rPr>
      <w:rFonts w:ascii="Times New Roman" w:eastAsia="SimSun" w:hAnsi="Times New Roman" w:cs="Times New Roman"/>
      <w:b/>
      <w:sz w:val="18"/>
      <w:szCs w:val="24"/>
      <w:lang w:val="en-GB" w:eastAsia="en-GB"/>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956702"/>
    <w:pPr>
      <w:tabs>
        <w:tab w:val="center" w:pos="4680"/>
        <w:tab w:val="right" w:pos="9360"/>
      </w:tabs>
    </w:pPr>
  </w:style>
  <w:style w:type="paragraph" w:styleId="Piedepgina">
    <w:name w:val="footer"/>
    <w:basedOn w:val="Normal"/>
    <w:link w:val="PiedepginaCar"/>
    <w:uiPriority w:val="99"/>
    <w:unhideWhenUsed/>
    <w:rsid w:val="00956702"/>
    <w:pPr>
      <w:tabs>
        <w:tab w:val="center" w:pos="4680"/>
        <w:tab w:val="right" w:pos="9360"/>
      </w:tabs>
    </w:p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paragraph" w:customStyle="1" w:styleId="TableCaption">
    <w:name w:val="Table Caption"/>
    <w:basedOn w:val="Normal"/>
    <w:link w:val="TableCaptionChar"/>
    <w:autoRedefine/>
    <w:qFormat/>
    <w:rsid w:val="00C5368D"/>
    <w:pPr>
      <w:tabs>
        <w:tab w:val="left" w:pos="360"/>
      </w:tabs>
      <w:snapToGrid w:val="0"/>
      <w:spacing w:before="120" w:after="120"/>
      <w:ind w:firstLine="0"/>
      <w:jc w:val="center"/>
    </w:pPr>
    <w:rPr>
      <w:rFonts w:ascii="Times New Roman" w:hAnsi="Times New Roman" w:cs="Times New Roman"/>
      <w:smallCaps/>
      <w:sz w:val="16"/>
      <w:szCs w:val="16"/>
    </w:rPr>
  </w:style>
  <w:style w:type="paragraph" w:customStyle="1" w:styleId="Referenceentry">
    <w:name w:val="Reference entry"/>
    <w:basedOn w:val="Normal"/>
    <w:link w:val="ReferenceentryChar"/>
    <w:qFormat/>
    <w:rsid w:val="00FC1463"/>
    <w:pPr>
      <w:numPr>
        <w:numId w:val="1"/>
      </w:numPr>
      <w:tabs>
        <w:tab w:val="clear" w:pos="360"/>
        <w:tab w:val="left" w:pos="270"/>
      </w:tabs>
      <w:snapToGrid w:val="0"/>
      <w:ind w:left="270" w:hanging="270"/>
    </w:pPr>
    <w:rPr>
      <w:rFonts w:ascii="Times New Roman" w:eastAsia="SimSun" w:hAnsi="Times New Roman" w:cs="Times New Roman"/>
      <w:sz w:val="16"/>
      <w:szCs w:val="16"/>
      <w:lang w:eastAsia="zh-CN"/>
    </w:rPr>
  </w:style>
  <w:style w:type="paragraph" w:styleId="Textocomentario">
    <w:name w:val="annotation text"/>
    <w:basedOn w:val="Normal"/>
    <w:link w:val="TextocomentarioCar"/>
    <w:uiPriority w:val="99"/>
    <w:semiHidden/>
    <w:unhideWhenUsed/>
    <w:rsid w:val="003345DD"/>
  </w:style>
  <w:style w:type="paragraph" w:styleId="Asuntodelcomentario">
    <w:name w:val="annotation subject"/>
    <w:basedOn w:val="Textocomentario"/>
    <w:next w:val="Textocomentario"/>
    <w:link w:val="AsuntodelcomentarioCar"/>
    <w:uiPriority w:val="99"/>
    <w:semiHidden/>
    <w:unhideWhenUsed/>
    <w:qFormat/>
    <w:rsid w:val="003345DD"/>
    <w:rPr>
      <w:b/>
      <w:bCs/>
    </w:rPr>
  </w:style>
  <w:style w:type="paragraph" w:customStyle="1" w:styleId="Textouser">
    <w:name w:val="Texto (user)"/>
    <w:basedOn w:val="Normal"/>
    <w:uiPriority w:val="99"/>
    <w:qFormat/>
    <w:rsid w:val="00FB2B6A"/>
    <w:pPr>
      <w:widowControl w:val="0"/>
      <w:spacing w:line="252" w:lineRule="auto"/>
      <w:ind w:firstLine="202"/>
      <w:textAlignment w:val="auto"/>
    </w:pPr>
    <w:rPr>
      <w:rFonts w:ascii="Times New Roman" w:eastAsia="Times New Roman" w:hAnsi="Times New Roman" w:cs="Times New Roman"/>
      <w:lang w:eastAsia="en-US"/>
    </w:rPr>
  </w:style>
  <w:style w:type="paragraph" w:customStyle="1" w:styleId="FigureCaption">
    <w:name w:val="Figure Caption"/>
    <w:basedOn w:val="Normal"/>
    <w:next w:val="Normal"/>
    <w:link w:val="FigureCaptionChar"/>
    <w:autoRedefine/>
    <w:uiPriority w:val="99"/>
    <w:qFormat/>
    <w:rsid w:val="0052305E"/>
    <w:pPr>
      <w:spacing w:before="120" w:after="120"/>
      <w:ind w:firstLine="0"/>
      <w:jc w:val="center"/>
      <w:textAlignment w:val="auto"/>
    </w:pPr>
    <w:rPr>
      <w:rFonts w:eastAsia="Times New Roman" w:cs="Times New Roman"/>
      <w:sz w:val="16"/>
      <w:szCs w:val="16"/>
      <w:lang w:eastAsia="en-US"/>
    </w:rPr>
  </w:style>
  <w:style w:type="paragraph" w:styleId="Bibliografa">
    <w:name w:val="Bibliography"/>
    <w:basedOn w:val="Normal"/>
    <w:next w:val="Normal"/>
    <w:uiPriority w:val="37"/>
    <w:unhideWhenUsed/>
    <w:qFormat/>
    <w:rsid w:val="00D761B8"/>
    <w:pPr>
      <w:tabs>
        <w:tab w:val="left" w:pos="504"/>
      </w:tabs>
      <w:ind w:left="504" w:hanging="504"/>
    </w:pPr>
  </w:style>
  <w:style w:type="paragraph" w:styleId="NormalWeb">
    <w:name w:val="Normal (Web)"/>
    <w:basedOn w:val="Normal"/>
    <w:uiPriority w:val="99"/>
    <w:semiHidden/>
    <w:unhideWhenUsed/>
    <w:qFormat/>
    <w:rsid w:val="00C865D4"/>
    <w:rPr>
      <w:rFonts w:ascii="Times New Roman" w:hAnsi="Times New Roman" w:cs="Times New Roman"/>
      <w:sz w:val="24"/>
      <w:szCs w:val="24"/>
    </w:rPr>
  </w:style>
  <w:style w:type="paragraph" w:customStyle="1" w:styleId="variable">
    <w:name w:val="variable"/>
    <w:basedOn w:val="Normal"/>
    <w:link w:val="variableCar"/>
    <w:autoRedefine/>
    <w:qFormat/>
    <w:rsid w:val="00F364D3"/>
    <w:rPr>
      <w:rFonts w:ascii="Consolas" w:hAnsi="Consolas"/>
      <w:smallCaps/>
      <w:sz w:val="16"/>
      <w:lang w:eastAsia="en-US"/>
    </w:rPr>
  </w:style>
  <w:style w:type="paragraph" w:customStyle="1" w:styleId="NotaTabla">
    <w:name w:val="Nota Tabla"/>
    <w:basedOn w:val="Normal"/>
    <w:link w:val="NotaTablaCar"/>
    <w:autoRedefine/>
    <w:qFormat/>
    <w:rsid w:val="00E232D5"/>
    <w:pPr>
      <w:spacing w:before="120" w:after="120"/>
      <w:ind w:firstLine="0"/>
    </w:pPr>
    <w:rPr>
      <w:i/>
      <w:iCs/>
      <w:sz w:val="16"/>
      <w:lang w:eastAsia="en-US"/>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styleId="Tablaconcuadrcula">
    <w:name w:val="Table Grid"/>
    <w:basedOn w:val="Tablanormal"/>
    <w:rsid w:val="00655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lanormal"/>
    <w:rsid w:val="00C91098"/>
    <w:pPr>
      <w:spacing w:before="36" w:after="36"/>
    </w:pPr>
    <w:tblPr/>
    <w:tcPr>
      <w:vAlign w:val="center"/>
    </w:tcPr>
    <w:tblStylePr w:type="firstRow">
      <w:rPr>
        <w:b/>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2-5382-1390" TargetMode="External"/><Relationship Id="rId13" Type="http://schemas.openxmlformats.org/officeDocument/2006/relationships/hyperlink" Target="file:///C:/Users/Aron/Downloads/1520481@senati.pe"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mailto:mevangelistag@senati.pe" TargetMode="External"/><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6-8186-9251"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orcid.org/0009-0005-6789-076X"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1634031@senati.pe" TargetMode="Externa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E5DC5-06F0-43BE-8AD8-2F35EF99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11</Pages>
  <Words>28708</Words>
  <Characters>157900</Characters>
  <Application>Microsoft Office Word</Application>
  <DocSecurity>0</DocSecurity>
  <Lines>1315</Lines>
  <Paragraphs>372</Paragraphs>
  <ScaleCrop>false</ScaleCrop>
  <Company>NTUME</Company>
  <LinksUpToDate>false</LinksUpToDate>
  <CharactersWithSpaces>186236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Validation of Low Birth Weight Classification in Peru</dc:title>
  <dc:subject>Revised manuscript addressing methodological review</dc:subject>
  <dc:creator>Max</dc:creator>
  <dc:description/>
  <cp:lastModifiedBy>MOISES EVANGELISTA GAMARRA</cp:lastModifiedBy>
  <cp:revision>158</cp:revision>
  <cp:lastPrinted>2026-07-28T02:40:00Z</cp:lastPrinted>
  <dcterms:created xsi:type="dcterms:W3CDTF">2026-07-28T00:45:00Z</dcterms:created>
  <dcterms:modified xsi:type="dcterms:W3CDTF">2026-07-29T17:14:00Z</dcterms:modified>
  <dc:language>es-PE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D:\papers\peso-nacimiento\C03-202610-Nacimiento.docx</vt:lpwstr>
  </property>
  <property fmtid="{D5CDD505-2E9C-101B-9397-08002B2CF9AE}" pid="3" name="TII_WORD_DOCUMENT_ID">
    <vt:lpwstr>b60d6f29-2713-4cca-b7f1-ceac01d17a3f</vt:lpwstr>
  </property>
  <property fmtid="{D5CDD505-2E9C-101B-9397-08002B2CF9AE}" pid="4" name="ZOTERO_PREF_1">
    <vt:lpwstr>&lt;data data-version="3" zotero-version="9.0.6"&gt;&lt;session id="dT3EdaWZ"/&gt;&lt;style id="http://www.zotero.org/styles/ieee"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