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CF8F" w14:textId="108FA856" w:rsidR="00667759" w:rsidRDefault="00450A4B">
      <w:bookmarkStart w:id="0" w:name="_Hlk227152792"/>
      <w:r w:rsidRPr="00450A4B">
        <w:rPr>
          <w:b/>
          <w:bCs/>
        </w:rPr>
        <w:t>LacI C-subdomain positions where at least one substitution exhibits the following phenotypes.  If two different substitutions at the same position exhibit different phenotypes, the position is assigned to the “both” phenotype</w:t>
      </w:r>
      <w:bookmarkEnd w:id="0"/>
    </w:p>
    <w:p w14:paraId="73C42766" w14:textId="64FCB9FB" w:rsidR="00F6332F" w:rsidRDefault="00667759" w:rsidP="00C10BAB">
      <w:pPr>
        <w:spacing w:after="80"/>
      </w:pPr>
      <w:bookmarkStart w:id="1" w:name="_Hlk227152813"/>
      <w:proofErr w:type="spellStart"/>
      <w:r>
        <w:t>IPTG_correlated</w:t>
      </w:r>
      <w:proofErr w:type="spellEnd"/>
      <w:r w:rsidR="00450A4B">
        <w:t>: C</w:t>
      </w:r>
      <w:r w:rsidR="00F6332F">
        <w:t xml:space="preserve">orresponds to </w:t>
      </w:r>
      <w:r w:rsidR="00450A4B">
        <w:t>the</w:t>
      </w:r>
      <w:r w:rsidR="00F6332F">
        <w:t xml:space="preserve"> expected relationship between G</w:t>
      </w:r>
      <w:r w:rsidR="00F6332F" w:rsidRPr="00450A4B">
        <w:rPr>
          <w:vertAlign w:val="subscript"/>
        </w:rPr>
        <w:t>0</w:t>
      </w:r>
      <w:r w:rsidR="00F6332F">
        <w:t xml:space="preserve"> and EC</w:t>
      </w:r>
      <w:r w:rsidR="00F6332F" w:rsidRPr="00450A4B">
        <w:rPr>
          <w:vertAlign w:val="subscript"/>
        </w:rPr>
        <w:t>50-IPTG</w:t>
      </w:r>
      <w:r w:rsidR="00BA437B">
        <w:t xml:space="preserve"> if the simple </w:t>
      </w:r>
      <w:r w:rsidR="00450A4B">
        <w:t xml:space="preserve">allosteric </w:t>
      </w:r>
      <w:r w:rsidR="00BA437B">
        <w:t>model of the “R/T” equilibrium is perturbed</w:t>
      </w:r>
      <w:r w:rsidR="00450A4B">
        <w:t>. That is, if G</w:t>
      </w:r>
      <w:r w:rsidR="00450A4B" w:rsidRPr="00450A4B">
        <w:rPr>
          <w:vertAlign w:val="subscript"/>
        </w:rPr>
        <w:t>0</w:t>
      </w:r>
      <w:r w:rsidR="00450A4B">
        <w:t xml:space="preserve"> is weaker, EC</w:t>
      </w:r>
      <w:r w:rsidR="00450A4B" w:rsidRPr="00450A4B">
        <w:rPr>
          <w:vertAlign w:val="subscript"/>
        </w:rPr>
        <w:t>50-IPTG</w:t>
      </w:r>
      <w:r w:rsidR="00450A4B">
        <w:t xml:space="preserve"> is also weaker, and </w:t>
      </w:r>
      <w:r w:rsidR="00450A4B" w:rsidRPr="00450A4B">
        <w:rPr>
          <w:i/>
          <w:iCs/>
        </w:rPr>
        <w:t>vice versa</w:t>
      </w:r>
      <w:r w:rsidR="00450A4B">
        <w:t>.</w:t>
      </w:r>
    </w:p>
    <w:bookmarkEnd w:id="1"/>
    <w:p w14:paraId="70F46E36" w14:textId="668D4E72" w:rsidR="00667759" w:rsidRDefault="00F6332F" w:rsidP="00667759">
      <w:r>
        <w:t>1</w:t>
      </w:r>
      <w:r w:rsidR="00667759">
        <w:t xml:space="preserve">65, 170, 178, 181, 184, 185, 191, 192, 195, 198, 209, 214, 221, 226, 228, 232, 240, 243, 250, 251, 252, 255, 257, 259, 265, 277, 279, 282, </w:t>
      </w:r>
      <w:proofErr w:type="gramStart"/>
      <w:r w:rsidR="00667759">
        <w:t>283, 285</w:t>
      </w:r>
      <w:proofErr w:type="gramEnd"/>
      <w:r w:rsidR="00667759">
        <w:t>, 288, 322, 324, 326, 329, 331</w:t>
      </w:r>
    </w:p>
    <w:p w14:paraId="449BAFAB" w14:textId="77777777" w:rsidR="00C61285" w:rsidRDefault="00C61285" w:rsidP="00667759"/>
    <w:p w14:paraId="05926D2F" w14:textId="44BE21CD" w:rsidR="00C61285" w:rsidRDefault="00C61285" w:rsidP="00C10BAB">
      <w:pPr>
        <w:spacing w:after="80"/>
      </w:pPr>
      <w:bookmarkStart w:id="2" w:name="_Hlk227152823"/>
      <w:proofErr w:type="spellStart"/>
      <w:r>
        <w:t>IPTG</w:t>
      </w:r>
      <w:r w:rsidR="00450A4B">
        <w:t>_</w:t>
      </w:r>
      <w:r>
        <w:t>correlated</w:t>
      </w:r>
      <w:proofErr w:type="spellEnd"/>
      <w:r>
        <w:t xml:space="preserve"> AND </w:t>
      </w:r>
      <w:proofErr w:type="spellStart"/>
      <w:r>
        <w:t>ONPF_only</w:t>
      </w:r>
      <w:proofErr w:type="spellEnd"/>
      <w:proofErr w:type="gramStart"/>
      <w:r w:rsidR="00BA437B">
        <w:t xml:space="preserve">:  </w:t>
      </w:r>
      <w:r w:rsidR="00450A4B">
        <w:t>C</w:t>
      </w:r>
      <w:r w:rsidR="00BA437B">
        <w:t>orresponds</w:t>
      </w:r>
      <w:proofErr w:type="gramEnd"/>
      <w:r w:rsidR="00BA437B">
        <w:t xml:space="preserve"> to an ONPF phenotype on top of the perturbed equilibrium</w:t>
      </w:r>
      <w:r w:rsidR="00450A4B">
        <w:t>.</w:t>
      </w:r>
      <w:r w:rsidR="00C10BAB" w:rsidRPr="00C10BAB">
        <w:t xml:space="preserve"> </w:t>
      </w:r>
      <w:r w:rsidR="00C10BAB">
        <w:t>In the manuscript’s Figure 6, this phenotype is plotted in the same color as the “</w:t>
      </w:r>
      <w:proofErr w:type="spellStart"/>
      <w:r w:rsidR="00C10BAB">
        <w:t>ONPF_only</w:t>
      </w:r>
      <w:proofErr w:type="spellEnd"/>
      <w:r w:rsidR="00C10BAB">
        <w:t>” phenotype.</w:t>
      </w:r>
    </w:p>
    <w:bookmarkEnd w:id="2"/>
    <w:p w14:paraId="07112FFA" w14:textId="656D9C47" w:rsidR="00C61285" w:rsidRDefault="00C61285" w:rsidP="00667759">
      <w:r>
        <w:t>168, 201, 242, 244, 245, 256, 328</w:t>
      </w:r>
    </w:p>
    <w:p w14:paraId="0BD65EF5" w14:textId="77777777" w:rsidR="00C61285" w:rsidRDefault="00C61285" w:rsidP="00667759"/>
    <w:p w14:paraId="3307AC81" w14:textId="7861386C" w:rsidR="00BA437B" w:rsidRDefault="00BA437B" w:rsidP="00C10BAB">
      <w:pPr>
        <w:spacing w:after="80"/>
      </w:pPr>
      <w:bookmarkStart w:id="3" w:name="_Hlk227152839"/>
      <w:r>
        <w:t>IPTG only</w:t>
      </w:r>
      <w:proofErr w:type="gramStart"/>
      <w:r w:rsidR="00450A4B">
        <w:t xml:space="preserve">: </w:t>
      </w:r>
      <w:r>
        <w:t xml:space="preserve"> </w:t>
      </w:r>
      <w:r w:rsidR="00450A4B">
        <w:t>The</w:t>
      </w:r>
      <w:proofErr w:type="gramEnd"/>
      <w:r w:rsidR="00450A4B">
        <w:t xml:space="preserve"> effect on IPTG induction</w:t>
      </w:r>
      <w:r>
        <w:t xml:space="preserve"> is not correlated</w:t>
      </w:r>
      <w:r w:rsidR="00450A4B">
        <w:t xml:space="preserve">, indicating an effect beyond the perturbed </w:t>
      </w:r>
      <w:proofErr w:type="spellStart"/>
      <w:r w:rsidR="00450A4B">
        <w:t>equilibirum</w:t>
      </w:r>
      <w:proofErr w:type="spellEnd"/>
      <w:r w:rsidR="00450A4B">
        <w:t>; no effect on ONPF</w:t>
      </w:r>
      <w:bookmarkEnd w:id="3"/>
      <w:r w:rsidR="00465705">
        <w:t>.</w:t>
      </w:r>
    </w:p>
    <w:p w14:paraId="48718D8E" w14:textId="6362EEBC" w:rsidR="00BA437B" w:rsidRDefault="00BA437B" w:rsidP="00BA437B">
      <w:r>
        <w:t xml:space="preserve">167, 173, 176, 177, 180, 183, 186, 189, 193, 203, 204, 208, 210, 211, 212, 218, 219, 224, 225, 229, 241, 249, 253, </w:t>
      </w:r>
      <w:proofErr w:type="gramStart"/>
      <w:r>
        <w:t>258, 261</w:t>
      </w:r>
      <w:proofErr w:type="gramEnd"/>
      <w:r>
        <w:t>, 264, 266, 276, 278, 284, 290, 292, 325, 332</w:t>
      </w:r>
    </w:p>
    <w:p w14:paraId="29C7AE7C" w14:textId="77777777" w:rsidR="00450A4B" w:rsidRDefault="00450A4B" w:rsidP="00667759"/>
    <w:p w14:paraId="69F6A73A" w14:textId="77777777" w:rsidR="00C10BAB" w:rsidRDefault="00C10BAB" w:rsidP="00C10BAB">
      <w:pPr>
        <w:spacing w:after="80"/>
      </w:pPr>
      <w:bookmarkStart w:id="4" w:name="_Hlk227152850"/>
      <w:r>
        <w:t>ONPF only</w:t>
      </w:r>
      <w:proofErr w:type="gramStart"/>
      <w:r>
        <w:t>:  Allosteric</w:t>
      </w:r>
      <w:proofErr w:type="gramEnd"/>
      <w:r>
        <w:t xml:space="preserve"> response to ONPF is altered, IPTG response is </w:t>
      </w:r>
      <w:proofErr w:type="gramStart"/>
      <w:r>
        <w:t>similar to</w:t>
      </w:r>
      <w:proofErr w:type="gramEnd"/>
      <w:r>
        <w:t xml:space="preserve"> WT.</w:t>
      </w:r>
    </w:p>
    <w:p w14:paraId="367A54EE" w14:textId="77777777" w:rsidR="00C10BAB" w:rsidRDefault="00C10BAB" w:rsidP="00C10BAB">
      <w:r>
        <w:t>179, 194, 200, 205, 207, 216, 227, 233, 280, 321, 323</w:t>
      </w:r>
    </w:p>
    <w:p w14:paraId="0E1907C7" w14:textId="77777777" w:rsidR="00C10BAB" w:rsidRDefault="00C10BAB" w:rsidP="00C10BAB"/>
    <w:p w14:paraId="09C84814" w14:textId="5DF1A417" w:rsidR="00667759" w:rsidRDefault="00667759" w:rsidP="00C10BAB">
      <w:pPr>
        <w:spacing w:after="80"/>
      </w:pPr>
      <w:r>
        <w:t>Both</w:t>
      </w:r>
      <w:r w:rsidR="00450A4B">
        <w:t xml:space="preserve">: Effect on allosteric response to </w:t>
      </w:r>
      <w:r>
        <w:t xml:space="preserve">IPTG </w:t>
      </w:r>
      <w:r w:rsidR="00450A4B">
        <w:t>(not</w:t>
      </w:r>
      <w:r>
        <w:t xml:space="preserve"> correlated</w:t>
      </w:r>
      <w:r w:rsidR="00450A4B">
        <w:t>)</w:t>
      </w:r>
      <w:r>
        <w:t xml:space="preserve"> AND an ONPF </w:t>
      </w:r>
      <w:r w:rsidR="00450A4B">
        <w:t>response is changed.</w:t>
      </w:r>
    </w:p>
    <w:bookmarkEnd w:id="4"/>
    <w:p w14:paraId="450E4121" w14:textId="41F5C6B6" w:rsidR="00667759" w:rsidRDefault="00667759" w:rsidP="00667759">
      <w:r>
        <w:t>164, 182, 196, 197, 206, 220, 223, 239, 246, 247, 248, 254, 269, 273, 274, 275, 291, 327</w:t>
      </w:r>
    </w:p>
    <w:p w14:paraId="7A2B8A9E" w14:textId="77777777" w:rsidR="00667759" w:rsidRDefault="00667759" w:rsidP="00667759"/>
    <w:p w14:paraId="1CFB9757" w14:textId="4030D853" w:rsidR="00450A4B" w:rsidRPr="00450A4B" w:rsidRDefault="00450A4B" w:rsidP="00C10BAB">
      <w:pPr>
        <w:spacing w:after="80"/>
        <w:rPr>
          <w:b/>
          <w:bCs/>
        </w:rPr>
      </w:pPr>
      <w:bookmarkStart w:id="5" w:name="_Hlk227152874"/>
      <w:r w:rsidRPr="00450A4B">
        <w:rPr>
          <w:b/>
          <w:bCs/>
        </w:rPr>
        <w:t>Structural features</w:t>
      </w:r>
    </w:p>
    <w:p w14:paraId="119C1AD5" w14:textId="60B0ADE0" w:rsidR="00667759" w:rsidRDefault="00450A4B" w:rsidP="00C10BAB">
      <w:pPr>
        <w:spacing w:after="80"/>
      </w:pPr>
      <w:r>
        <w:t>Positions that directly</w:t>
      </w:r>
      <w:r w:rsidR="00667759">
        <w:t xml:space="preserve"> ligand contact</w:t>
      </w:r>
      <w:r w:rsidR="004430F7">
        <w:t xml:space="preserve"> (</w:t>
      </w:r>
      <w:r>
        <w:t>as designated in the</w:t>
      </w:r>
      <w:r w:rsidR="004430F7">
        <w:t xml:space="preserve"> </w:t>
      </w:r>
      <w:proofErr w:type="spellStart"/>
      <w:r w:rsidR="004430F7">
        <w:t>allorep</w:t>
      </w:r>
      <w:proofErr w:type="spellEnd"/>
      <w:r>
        <w:t xml:space="preserve"> database</w:t>
      </w:r>
      <w:r w:rsidR="004430F7">
        <w:t>, 5</w:t>
      </w:r>
      <w:r>
        <w:t>Å</w:t>
      </w:r>
      <w:r w:rsidR="004430F7">
        <w:t xml:space="preserve"> to any bound ligand)</w:t>
      </w:r>
    </w:p>
    <w:bookmarkEnd w:id="5"/>
    <w:p w14:paraId="6432AF89" w14:textId="0E265603" w:rsidR="00667759" w:rsidRDefault="00667759" w:rsidP="00667759">
      <w:r>
        <w:t>191, 193, 197, 220, 245, 246, 248, 273, 274, 291</w:t>
      </w:r>
    </w:p>
    <w:p w14:paraId="56C96FEC" w14:textId="77777777" w:rsidR="00667759" w:rsidRDefault="00667759" w:rsidP="00667759"/>
    <w:p w14:paraId="52531F66" w14:textId="676CD3B3" w:rsidR="00667759" w:rsidRDefault="00450A4B" w:rsidP="00C10BAB">
      <w:pPr>
        <w:spacing w:after="80"/>
      </w:pPr>
      <w:bookmarkStart w:id="6" w:name="_Hlk227152883"/>
      <w:r>
        <w:t>Sequence n</w:t>
      </w:r>
      <w:r w:rsidR="00667759">
        <w:t>eighbor</w:t>
      </w:r>
      <w:r>
        <w:t>s</w:t>
      </w:r>
      <w:r w:rsidR="00465705">
        <w:t xml:space="preserve"> (+1/-1)</w:t>
      </w:r>
      <w:r w:rsidR="004430F7">
        <w:t xml:space="preserve"> </w:t>
      </w:r>
      <w:r w:rsidR="00667759">
        <w:t>to direct contact</w:t>
      </w:r>
      <w:r>
        <w:t xml:space="preserve"> positions</w:t>
      </w:r>
    </w:p>
    <w:bookmarkEnd w:id="6"/>
    <w:p w14:paraId="08CB34A8" w14:textId="058211E8" w:rsidR="00667759" w:rsidRDefault="004430F7" w:rsidP="00667759">
      <w:r>
        <w:t>190, 192, 194, 196, 198, 219, 221, 244, 247, 249, 271, 275, 290, 292</w:t>
      </w:r>
    </w:p>
    <w:sectPr w:rsidR="00667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08"/>
    <w:rsid w:val="000A2845"/>
    <w:rsid w:val="000C4F08"/>
    <w:rsid w:val="001D33A8"/>
    <w:rsid w:val="004430F7"/>
    <w:rsid w:val="00450A4B"/>
    <w:rsid w:val="00465705"/>
    <w:rsid w:val="004C48DB"/>
    <w:rsid w:val="00667759"/>
    <w:rsid w:val="008A70E8"/>
    <w:rsid w:val="008D34F8"/>
    <w:rsid w:val="00963A27"/>
    <w:rsid w:val="00B5342D"/>
    <w:rsid w:val="00BA437B"/>
    <w:rsid w:val="00C10BAB"/>
    <w:rsid w:val="00C61285"/>
    <w:rsid w:val="00D960CD"/>
    <w:rsid w:val="00EC468B"/>
    <w:rsid w:val="00F6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E3D0"/>
  <w15:chartTrackingRefBased/>
  <w15:docId w15:val="{DAF1319F-789C-42EC-9C74-70EC4EA5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Kansas Medical Center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Liskin Swint-Kruse</dc:creator>
  <cp:keywords/>
  <dc:description/>
  <cp:lastModifiedBy>Liskin Swint-Kruse</cp:lastModifiedBy>
  <cp:revision>5</cp:revision>
  <dcterms:created xsi:type="dcterms:W3CDTF">2026-02-17T15:21:00Z</dcterms:created>
  <dcterms:modified xsi:type="dcterms:W3CDTF">2026-04-15T18:45:00Z</dcterms:modified>
</cp:coreProperties>
</file>