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595D" w14:textId="0AB9AF88" w:rsidR="009A42DC" w:rsidRDefault="009A42DC" w:rsidP="009C6F7F">
      <w:r w:rsidRPr="00450A4B">
        <w:rPr>
          <w:b/>
          <w:bCs/>
        </w:rPr>
        <w:t xml:space="preserve">LacI </w:t>
      </w:r>
      <w:r>
        <w:rPr>
          <w:b/>
          <w:bCs/>
        </w:rPr>
        <w:t>N</w:t>
      </w:r>
      <w:r w:rsidRPr="00450A4B">
        <w:rPr>
          <w:b/>
          <w:bCs/>
        </w:rPr>
        <w:t xml:space="preserve">-subdomain positions where at least one substitution exhibits the following phenotypes.  If two different substitutions at the same position exhibit different phenotypes, the position is assigned to the “both” </w:t>
      </w:r>
      <w:proofErr w:type="gramStart"/>
      <w:r w:rsidRPr="00450A4B">
        <w:rPr>
          <w:b/>
          <w:bCs/>
        </w:rPr>
        <w:t>phenotype</w:t>
      </w:r>
      <w:proofErr w:type="gramEnd"/>
      <w:r>
        <w:t>.</w:t>
      </w:r>
    </w:p>
    <w:p w14:paraId="6F33F44E" w14:textId="77777777" w:rsidR="009A42DC" w:rsidRDefault="009A42DC" w:rsidP="00755B15">
      <w:pPr>
        <w:spacing w:after="80"/>
      </w:pPr>
      <w:proofErr w:type="spellStart"/>
      <w:r>
        <w:t>IPTG_correlated</w:t>
      </w:r>
      <w:proofErr w:type="spellEnd"/>
      <w:r>
        <w:t>: Corresponds to the expected relationship between G</w:t>
      </w:r>
      <w:r w:rsidRPr="00450A4B">
        <w:rPr>
          <w:vertAlign w:val="subscript"/>
        </w:rPr>
        <w:t>0</w:t>
      </w:r>
      <w:r>
        <w:t xml:space="preserve"> and EC</w:t>
      </w:r>
      <w:r w:rsidRPr="00450A4B">
        <w:rPr>
          <w:vertAlign w:val="subscript"/>
        </w:rPr>
        <w:t>50-IPTG</w:t>
      </w:r>
      <w:r>
        <w:t xml:space="preserve"> if the simple allosteric model of the “R/T” equilibrium is perturbed. That is, if G</w:t>
      </w:r>
      <w:r w:rsidRPr="00450A4B">
        <w:rPr>
          <w:vertAlign w:val="subscript"/>
        </w:rPr>
        <w:t>0</w:t>
      </w:r>
      <w:r>
        <w:t xml:space="preserve"> is weaker, EC</w:t>
      </w:r>
      <w:r w:rsidRPr="00450A4B">
        <w:rPr>
          <w:vertAlign w:val="subscript"/>
        </w:rPr>
        <w:t>50-IPTG</w:t>
      </w:r>
      <w:r>
        <w:t xml:space="preserve"> is also weaker, and </w:t>
      </w:r>
      <w:r w:rsidRPr="00450A4B">
        <w:rPr>
          <w:i/>
          <w:iCs/>
        </w:rPr>
        <w:t>vice versa</w:t>
      </w:r>
      <w:r>
        <w:t>.</w:t>
      </w:r>
    </w:p>
    <w:p w14:paraId="41E03BEA" w14:textId="7D818492" w:rsidR="001D3F6B" w:rsidRDefault="009C6F7F" w:rsidP="009C6F7F">
      <w:r>
        <w:t>64</w:t>
      </w:r>
      <w:r w:rsidR="001D3F6B">
        <w:t xml:space="preserve">, </w:t>
      </w:r>
      <w:r>
        <w:t>65</w:t>
      </w:r>
      <w:r w:rsidR="001D3F6B">
        <w:t xml:space="preserve">, </w:t>
      </w:r>
      <w:r>
        <w:t>66</w:t>
      </w:r>
      <w:r w:rsidR="001D3F6B">
        <w:t xml:space="preserve">, </w:t>
      </w:r>
      <w:r>
        <w:t>67</w:t>
      </w:r>
      <w:r w:rsidR="001D3F6B">
        <w:t xml:space="preserve">, </w:t>
      </w:r>
      <w:r>
        <w:t>68</w:t>
      </w:r>
      <w:r w:rsidR="001D3F6B">
        <w:t xml:space="preserve">, </w:t>
      </w:r>
      <w:r>
        <w:t>70</w:t>
      </w:r>
      <w:r w:rsidR="001D3F6B">
        <w:t xml:space="preserve">, </w:t>
      </w:r>
      <w:r>
        <w:t>71</w:t>
      </w:r>
      <w:r w:rsidR="001D3F6B">
        <w:t xml:space="preserve">, </w:t>
      </w:r>
      <w:r>
        <w:t>78</w:t>
      </w:r>
      <w:r w:rsidR="001D3F6B">
        <w:t xml:space="preserve">, </w:t>
      </w:r>
      <w:r>
        <w:t>85</w:t>
      </w:r>
      <w:r w:rsidR="001D3F6B">
        <w:t xml:space="preserve">, </w:t>
      </w:r>
      <w:r>
        <w:t>86</w:t>
      </w:r>
      <w:r w:rsidR="001D3F6B">
        <w:t xml:space="preserve">, </w:t>
      </w:r>
      <w:r>
        <w:t>87</w:t>
      </w:r>
      <w:r w:rsidR="001D3F6B">
        <w:t xml:space="preserve">, </w:t>
      </w:r>
      <w:r>
        <w:t>92</w:t>
      </w:r>
      <w:r w:rsidR="001D3F6B">
        <w:t xml:space="preserve">, </w:t>
      </w:r>
      <w:r>
        <w:t>94</w:t>
      </w:r>
      <w:r w:rsidR="001D3F6B">
        <w:t xml:space="preserve">, </w:t>
      </w:r>
      <w:r>
        <w:t>95</w:t>
      </w:r>
      <w:r w:rsidR="001D3F6B">
        <w:t xml:space="preserve">, </w:t>
      </w:r>
      <w:r>
        <w:t>97</w:t>
      </w:r>
      <w:r w:rsidR="001D3F6B">
        <w:t xml:space="preserve">, </w:t>
      </w:r>
      <w:r>
        <w:t>98</w:t>
      </w:r>
      <w:r w:rsidR="001D3F6B">
        <w:t xml:space="preserve">, </w:t>
      </w:r>
      <w:r>
        <w:t>99</w:t>
      </w:r>
      <w:r w:rsidR="001D3F6B">
        <w:t xml:space="preserve">, </w:t>
      </w:r>
      <w:r>
        <w:t>100</w:t>
      </w:r>
      <w:r w:rsidR="001D3F6B">
        <w:t xml:space="preserve">, </w:t>
      </w:r>
      <w:r>
        <w:t>101</w:t>
      </w:r>
      <w:r w:rsidR="001D3F6B">
        <w:t xml:space="preserve">, </w:t>
      </w:r>
      <w:r>
        <w:t>105</w:t>
      </w:r>
      <w:r w:rsidR="001D3F6B">
        <w:t xml:space="preserve">, </w:t>
      </w:r>
      <w:r>
        <w:t>107</w:t>
      </w:r>
      <w:r w:rsidR="001D3F6B">
        <w:t xml:space="preserve">, </w:t>
      </w:r>
      <w:r>
        <w:t>110</w:t>
      </w:r>
      <w:r w:rsidR="001D3F6B">
        <w:t xml:space="preserve">, </w:t>
      </w:r>
      <w:r>
        <w:t>112</w:t>
      </w:r>
      <w:r w:rsidR="001D3F6B">
        <w:t xml:space="preserve">, </w:t>
      </w:r>
      <w:r>
        <w:t>114</w:t>
      </w:r>
      <w:r w:rsidR="001D3F6B">
        <w:t xml:space="preserve">, </w:t>
      </w:r>
      <w:r>
        <w:t>118</w:t>
      </w:r>
      <w:r w:rsidR="001D3F6B">
        <w:t xml:space="preserve">, </w:t>
      </w:r>
      <w:r>
        <w:t>123</w:t>
      </w:r>
      <w:r w:rsidR="001D3F6B">
        <w:t xml:space="preserve">, </w:t>
      </w:r>
      <w:r>
        <w:t>140</w:t>
      </w:r>
      <w:r w:rsidR="001D3F6B">
        <w:t xml:space="preserve">, </w:t>
      </w:r>
      <w:r>
        <w:t>141</w:t>
      </w:r>
      <w:r w:rsidR="001D3F6B">
        <w:t xml:space="preserve">, </w:t>
      </w:r>
      <w:r>
        <w:t>142</w:t>
      </w:r>
      <w:r w:rsidR="001D3F6B">
        <w:t xml:space="preserve">, </w:t>
      </w:r>
      <w:r>
        <w:t>145</w:t>
      </w:r>
      <w:r w:rsidR="001D3F6B">
        <w:t xml:space="preserve">, </w:t>
      </w:r>
      <w:r>
        <w:t>147</w:t>
      </w:r>
      <w:r w:rsidR="001D3F6B">
        <w:t xml:space="preserve">, </w:t>
      </w:r>
      <w:proofErr w:type="gramStart"/>
      <w:r>
        <w:t>154</w:t>
      </w:r>
      <w:r w:rsidR="001D3F6B">
        <w:t xml:space="preserve">, </w:t>
      </w:r>
      <w:r>
        <w:t>156</w:t>
      </w:r>
      <w:proofErr w:type="gramEnd"/>
      <w:r w:rsidR="001D3F6B">
        <w:t xml:space="preserve">, </w:t>
      </w:r>
      <w:r>
        <w:t>157</w:t>
      </w:r>
      <w:r w:rsidR="001D3F6B">
        <w:t xml:space="preserve">, </w:t>
      </w:r>
      <w:r>
        <w:t>294</w:t>
      </w:r>
      <w:r w:rsidR="001D3F6B">
        <w:t xml:space="preserve">, </w:t>
      </w:r>
      <w:r>
        <w:t>299</w:t>
      </w:r>
      <w:r w:rsidR="001D3F6B">
        <w:t xml:space="preserve">, </w:t>
      </w:r>
      <w:r>
        <w:t>300</w:t>
      </w:r>
      <w:r w:rsidR="001D3F6B">
        <w:t xml:space="preserve">, </w:t>
      </w:r>
      <w:r>
        <w:t>301</w:t>
      </w:r>
      <w:r w:rsidR="001D3F6B">
        <w:t xml:space="preserve">, </w:t>
      </w:r>
      <w:r>
        <w:t>304</w:t>
      </w:r>
      <w:r w:rsidR="001D3F6B">
        <w:t xml:space="preserve">, </w:t>
      </w:r>
      <w:r>
        <w:t>305</w:t>
      </w:r>
      <w:r w:rsidR="001D3F6B">
        <w:t xml:space="preserve">, </w:t>
      </w:r>
      <w:r>
        <w:t>307</w:t>
      </w:r>
      <w:r w:rsidR="001D3F6B">
        <w:t xml:space="preserve">, </w:t>
      </w:r>
      <w:r>
        <w:t>309</w:t>
      </w:r>
      <w:r w:rsidR="001D3F6B">
        <w:t xml:space="preserve">, </w:t>
      </w:r>
      <w:r>
        <w:t>315</w:t>
      </w:r>
      <w:r w:rsidR="00667759">
        <w:t xml:space="preserve"> </w:t>
      </w:r>
      <w:r w:rsidR="001D3F6B">
        <w:t xml:space="preserve"> </w:t>
      </w:r>
    </w:p>
    <w:p w14:paraId="5E50B62E" w14:textId="77777777" w:rsidR="001D3F6B" w:rsidRDefault="001D3F6B" w:rsidP="009C6F7F"/>
    <w:p w14:paraId="3E8409AC" w14:textId="222E501B" w:rsidR="001D3F6B" w:rsidRDefault="009A42DC" w:rsidP="00755B15">
      <w:pPr>
        <w:spacing w:after="80"/>
      </w:pPr>
      <w:proofErr w:type="spellStart"/>
      <w:r>
        <w:t>IPTG_correlated</w:t>
      </w:r>
      <w:proofErr w:type="spellEnd"/>
      <w:r>
        <w:t xml:space="preserve"> AND </w:t>
      </w:r>
      <w:proofErr w:type="spellStart"/>
      <w:r>
        <w:t>ONPF_only</w:t>
      </w:r>
      <w:proofErr w:type="spellEnd"/>
      <w:proofErr w:type="gramStart"/>
      <w:r>
        <w:t>:  Corresponds</w:t>
      </w:r>
      <w:proofErr w:type="gramEnd"/>
      <w:r>
        <w:t xml:space="preserve"> to an ONPF phenotype on top of the perturbed equilibrium.</w:t>
      </w:r>
      <w:r w:rsidR="007A52A1">
        <w:t xml:space="preserve">  </w:t>
      </w:r>
      <w:bookmarkStart w:id="0" w:name="_Hlk227153076"/>
      <w:r w:rsidR="00755B15">
        <w:t>In the manuscript’s Figure 6, this phenotype is plotted in the same color as the “</w:t>
      </w:r>
      <w:proofErr w:type="spellStart"/>
      <w:r w:rsidR="00755B15">
        <w:t>ONPF_only</w:t>
      </w:r>
      <w:proofErr w:type="spellEnd"/>
      <w:r w:rsidR="00755B15">
        <w:t>” phenotype.</w:t>
      </w:r>
      <w:bookmarkEnd w:id="0"/>
      <w:r w:rsidR="00755B15">
        <w:t xml:space="preserve"> </w:t>
      </w:r>
    </w:p>
    <w:p w14:paraId="61E60BE4" w14:textId="6CC7DC35" w:rsidR="001D3F6B" w:rsidRDefault="009C6F7F" w:rsidP="009C6F7F">
      <w:r>
        <w:t>69</w:t>
      </w:r>
      <w:r w:rsidR="001D3F6B">
        <w:t xml:space="preserve">, </w:t>
      </w:r>
      <w:r>
        <w:t>75</w:t>
      </w:r>
      <w:r w:rsidR="001D3F6B">
        <w:t xml:space="preserve">, </w:t>
      </w:r>
      <w:r>
        <w:t>77</w:t>
      </w:r>
      <w:r w:rsidR="001D3F6B">
        <w:t xml:space="preserve">, </w:t>
      </w:r>
      <w:r>
        <w:t>81</w:t>
      </w:r>
      <w:r w:rsidR="001D3F6B">
        <w:t xml:space="preserve">, </w:t>
      </w:r>
      <w:r>
        <w:t>88</w:t>
      </w:r>
      <w:r w:rsidR="001D3F6B">
        <w:t xml:space="preserve">, </w:t>
      </w:r>
      <w:r>
        <w:t>115</w:t>
      </w:r>
      <w:r w:rsidR="001D3F6B">
        <w:t xml:space="preserve">, </w:t>
      </w:r>
      <w:r>
        <w:t>116</w:t>
      </w:r>
      <w:r w:rsidR="001D3F6B">
        <w:t xml:space="preserve">, </w:t>
      </w:r>
      <w:r>
        <w:t>119</w:t>
      </w:r>
      <w:r w:rsidR="001D3F6B">
        <w:t xml:space="preserve">, </w:t>
      </w:r>
      <w:r>
        <w:t>122</w:t>
      </w:r>
      <w:r w:rsidR="001D3F6B">
        <w:t xml:space="preserve">, </w:t>
      </w:r>
      <w:r>
        <w:t>151</w:t>
      </w:r>
      <w:r w:rsidR="001D3F6B">
        <w:t xml:space="preserve">, </w:t>
      </w:r>
      <w:r>
        <w:t>152</w:t>
      </w:r>
      <w:r w:rsidR="001D3F6B">
        <w:t xml:space="preserve">, </w:t>
      </w:r>
      <w:r>
        <w:t>303</w:t>
      </w:r>
      <w:r w:rsidR="001D3F6B">
        <w:t xml:space="preserve">, </w:t>
      </w:r>
      <w:r>
        <w:t>318</w:t>
      </w:r>
    </w:p>
    <w:p w14:paraId="6059943A" w14:textId="77777777" w:rsidR="001D3F6B" w:rsidRDefault="001D3F6B" w:rsidP="009C6F7F"/>
    <w:p w14:paraId="066BE598" w14:textId="77777777" w:rsidR="009A42DC" w:rsidRDefault="009A42DC" w:rsidP="00755B15">
      <w:pPr>
        <w:spacing w:after="80"/>
      </w:pPr>
      <w:r>
        <w:t>IPTG only</w:t>
      </w:r>
      <w:proofErr w:type="gramStart"/>
      <w:r>
        <w:t>:  The</w:t>
      </w:r>
      <w:proofErr w:type="gramEnd"/>
      <w:r>
        <w:t xml:space="preserve"> effect on IPTG induction is not correlated, indicating an effect beyond the perturbed </w:t>
      </w:r>
      <w:proofErr w:type="spellStart"/>
      <w:r>
        <w:t>equilibirum</w:t>
      </w:r>
      <w:proofErr w:type="spellEnd"/>
      <w:r>
        <w:t>; no effect on ONPF</w:t>
      </w:r>
      <w:r>
        <w:t>.</w:t>
      </w:r>
    </w:p>
    <w:p w14:paraId="4D757C70" w14:textId="013C6883" w:rsidR="001D3F6B" w:rsidRDefault="009C6F7F" w:rsidP="009C6F7F">
      <w:r>
        <w:t>63</w:t>
      </w:r>
      <w:r w:rsidR="001D3F6B">
        <w:t xml:space="preserve">, </w:t>
      </w:r>
      <w:r>
        <w:t>80</w:t>
      </w:r>
      <w:r w:rsidR="001D3F6B">
        <w:t xml:space="preserve">, </w:t>
      </w:r>
      <w:r>
        <w:t>82</w:t>
      </w:r>
      <w:r w:rsidR="001D3F6B">
        <w:t xml:space="preserve">, </w:t>
      </w:r>
      <w:r>
        <w:t>83</w:t>
      </w:r>
      <w:r w:rsidR="001D3F6B">
        <w:t xml:space="preserve">, </w:t>
      </w:r>
      <w:r>
        <w:t>84</w:t>
      </w:r>
      <w:r w:rsidR="001D3F6B">
        <w:t xml:space="preserve">, </w:t>
      </w:r>
      <w:r>
        <w:t>89</w:t>
      </w:r>
      <w:r w:rsidR="001D3F6B">
        <w:t xml:space="preserve">, </w:t>
      </w:r>
      <w:r>
        <w:t>90</w:t>
      </w:r>
      <w:r w:rsidR="001D3F6B">
        <w:t xml:space="preserve">, </w:t>
      </w:r>
      <w:r>
        <w:t>91</w:t>
      </w:r>
      <w:r w:rsidR="001D3F6B">
        <w:t xml:space="preserve">, </w:t>
      </w:r>
      <w:r>
        <w:t>96</w:t>
      </w:r>
      <w:r w:rsidR="001D3F6B">
        <w:t xml:space="preserve">, </w:t>
      </w:r>
      <w:r>
        <w:t>102</w:t>
      </w:r>
      <w:r w:rsidR="001D3F6B">
        <w:t xml:space="preserve">, </w:t>
      </w:r>
      <w:r>
        <w:t>103</w:t>
      </w:r>
      <w:r w:rsidR="001D3F6B">
        <w:t xml:space="preserve">, </w:t>
      </w:r>
      <w:r>
        <w:t>109</w:t>
      </w:r>
      <w:r w:rsidR="001D3F6B">
        <w:t xml:space="preserve">, </w:t>
      </w:r>
      <w:r>
        <w:t>113</w:t>
      </w:r>
      <w:r w:rsidR="001D3F6B">
        <w:t xml:space="preserve">, </w:t>
      </w:r>
      <w:r>
        <w:t>117</w:t>
      </w:r>
      <w:r w:rsidR="001D3F6B">
        <w:t xml:space="preserve">, </w:t>
      </w:r>
      <w:proofErr w:type="gramStart"/>
      <w:r>
        <w:t>121</w:t>
      </w:r>
      <w:r w:rsidR="001D3F6B">
        <w:t xml:space="preserve">, </w:t>
      </w:r>
      <w:r>
        <w:t>129</w:t>
      </w:r>
      <w:proofErr w:type="gramEnd"/>
      <w:r w:rsidR="001D3F6B">
        <w:t xml:space="preserve">, </w:t>
      </w:r>
      <w:r>
        <w:t>131</w:t>
      </w:r>
      <w:r w:rsidR="001D3F6B">
        <w:t xml:space="preserve">, </w:t>
      </w:r>
      <w:r>
        <w:t>135</w:t>
      </w:r>
      <w:r w:rsidR="001D3F6B">
        <w:t xml:space="preserve">, </w:t>
      </w:r>
      <w:r>
        <w:t>136</w:t>
      </w:r>
      <w:r w:rsidR="001D3F6B">
        <w:t xml:space="preserve">, </w:t>
      </w:r>
      <w:r>
        <w:t>153</w:t>
      </w:r>
      <w:r w:rsidR="001D3F6B">
        <w:t xml:space="preserve">, </w:t>
      </w:r>
      <w:r>
        <w:t>155</w:t>
      </w:r>
      <w:r w:rsidR="001D3F6B">
        <w:t xml:space="preserve">, </w:t>
      </w:r>
      <w:r>
        <w:t>160</w:t>
      </w:r>
      <w:r w:rsidR="001D3F6B">
        <w:t xml:space="preserve">, </w:t>
      </w:r>
      <w:r>
        <w:t>297</w:t>
      </w:r>
      <w:r w:rsidR="001D3F6B">
        <w:t xml:space="preserve">, </w:t>
      </w:r>
      <w:r>
        <w:t>298</w:t>
      </w:r>
      <w:r w:rsidR="001D3F6B">
        <w:t xml:space="preserve">, </w:t>
      </w:r>
      <w:r>
        <w:t>302</w:t>
      </w:r>
      <w:r w:rsidR="001D3F6B">
        <w:t xml:space="preserve">, </w:t>
      </w:r>
      <w:r>
        <w:t>306</w:t>
      </w:r>
      <w:r w:rsidR="001D3F6B">
        <w:t xml:space="preserve">, </w:t>
      </w:r>
      <w:r>
        <w:t>311</w:t>
      </w:r>
      <w:r w:rsidR="001D3F6B">
        <w:t xml:space="preserve">, </w:t>
      </w:r>
      <w:r>
        <w:t>313</w:t>
      </w:r>
      <w:r w:rsidR="001D3F6B">
        <w:t xml:space="preserve">, </w:t>
      </w:r>
      <w:r>
        <w:t>314</w:t>
      </w:r>
      <w:r w:rsidR="001D3F6B">
        <w:t xml:space="preserve">, </w:t>
      </w:r>
      <w:r>
        <w:t>316</w:t>
      </w:r>
      <w:r w:rsidR="001D3F6B">
        <w:t xml:space="preserve">, </w:t>
      </w:r>
      <w:r>
        <w:t>317</w:t>
      </w:r>
    </w:p>
    <w:p w14:paraId="6C6DA634" w14:textId="77777777" w:rsidR="001D3F6B" w:rsidRDefault="001D3F6B" w:rsidP="009C6F7F"/>
    <w:p w14:paraId="657CD1A8" w14:textId="77777777" w:rsidR="00755B15" w:rsidRDefault="00755B15" w:rsidP="00755B15">
      <w:pPr>
        <w:spacing w:after="80"/>
      </w:pPr>
      <w:r>
        <w:t>ONPF only</w:t>
      </w:r>
      <w:proofErr w:type="gramStart"/>
      <w:r>
        <w:t>:  Allosteric</w:t>
      </w:r>
      <w:proofErr w:type="gramEnd"/>
      <w:r>
        <w:t xml:space="preserve"> response to ONPF is altered, IPTG response is </w:t>
      </w:r>
      <w:proofErr w:type="gramStart"/>
      <w:r>
        <w:t>similar to</w:t>
      </w:r>
      <w:proofErr w:type="gramEnd"/>
      <w:r>
        <w:t xml:space="preserve"> WT.</w:t>
      </w:r>
    </w:p>
    <w:p w14:paraId="008401E3" w14:textId="77777777" w:rsidR="00755B15" w:rsidRDefault="00755B15" w:rsidP="00755B15">
      <w:r>
        <w:t xml:space="preserve">74, 93, 111, 120, 124, 125, 146, 150, 159, 161  </w:t>
      </w:r>
    </w:p>
    <w:p w14:paraId="63490B7F" w14:textId="77777777" w:rsidR="00755B15" w:rsidRDefault="00755B15" w:rsidP="00755B15"/>
    <w:p w14:paraId="677762C9" w14:textId="77777777" w:rsidR="009A42DC" w:rsidRDefault="009A42DC" w:rsidP="00755B15">
      <w:pPr>
        <w:spacing w:after="80"/>
      </w:pPr>
      <w:r>
        <w:t>Both: Effect on allosteric response to IPTG (not correlated) AND an ONPF response is changed.</w:t>
      </w:r>
    </w:p>
    <w:p w14:paraId="34C7DD1C" w14:textId="4A57D12B" w:rsidR="001D3F6B" w:rsidRDefault="009C6F7F" w:rsidP="009C6F7F">
      <w:r>
        <w:t>79</w:t>
      </w:r>
      <w:r w:rsidR="001D3F6B">
        <w:t xml:space="preserve">, </w:t>
      </w:r>
      <w:r>
        <w:t>108</w:t>
      </w:r>
      <w:r w:rsidR="001D3F6B">
        <w:t xml:space="preserve">, </w:t>
      </w:r>
      <w:r>
        <w:t>127</w:t>
      </w:r>
      <w:r w:rsidR="001D3F6B">
        <w:t xml:space="preserve">, </w:t>
      </w:r>
      <w:r>
        <w:t>128</w:t>
      </w:r>
      <w:r w:rsidR="001D3F6B">
        <w:t xml:space="preserve">, </w:t>
      </w:r>
      <w:r>
        <w:t>144</w:t>
      </w:r>
      <w:r w:rsidR="001D3F6B">
        <w:t xml:space="preserve">, </w:t>
      </w:r>
      <w:r>
        <w:t>149</w:t>
      </w:r>
      <w:r w:rsidR="001D3F6B">
        <w:t xml:space="preserve">, </w:t>
      </w:r>
      <w:r>
        <w:t>296</w:t>
      </w:r>
    </w:p>
    <w:p w14:paraId="56E04B02" w14:textId="77777777" w:rsidR="001D3F6B" w:rsidRDefault="001D3F6B" w:rsidP="009C6F7F"/>
    <w:p w14:paraId="46350712" w14:textId="77777777" w:rsidR="009A42DC" w:rsidRPr="00450A4B" w:rsidRDefault="009A42DC" w:rsidP="00755B15">
      <w:pPr>
        <w:spacing w:after="80"/>
        <w:rPr>
          <w:b/>
          <w:bCs/>
        </w:rPr>
      </w:pPr>
      <w:r w:rsidRPr="00450A4B">
        <w:rPr>
          <w:b/>
          <w:bCs/>
        </w:rPr>
        <w:t>Structural features</w:t>
      </w:r>
    </w:p>
    <w:p w14:paraId="7B5D27DC" w14:textId="77777777" w:rsidR="009A42DC" w:rsidRDefault="009A42DC" w:rsidP="00755B15">
      <w:pPr>
        <w:spacing w:after="80"/>
      </w:pPr>
      <w:r>
        <w:t xml:space="preserve">Positions that directly ligand contact (as designated in the </w:t>
      </w:r>
      <w:proofErr w:type="spellStart"/>
      <w:r>
        <w:t>allorep</w:t>
      </w:r>
      <w:proofErr w:type="spellEnd"/>
      <w:r>
        <w:t xml:space="preserve"> database, 5Å to any bound ligand)</w:t>
      </w:r>
    </w:p>
    <w:p w14:paraId="0DB34CF3" w14:textId="7BF15E32" w:rsidR="001D3F6B" w:rsidRDefault="007A52A1" w:rsidP="007A52A1">
      <w:r>
        <w:t>69, 73, 74, 75, 76, 79, 101, 125, 126, 127, 148, 149, 160, 161, 293, 296</w:t>
      </w:r>
      <w:r w:rsidR="001D3F6B">
        <w:t xml:space="preserve"> </w:t>
      </w:r>
    </w:p>
    <w:p w14:paraId="1C90A303" w14:textId="77777777" w:rsidR="001D3F6B" w:rsidRDefault="001D3F6B" w:rsidP="009C6F7F"/>
    <w:p w14:paraId="0F2254DA" w14:textId="57FE9ECC" w:rsidR="009A42DC" w:rsidRDefault="009A42DC" w:rsidP="00755B15">
      <w:pPr>
        <w:spacing w:after="80"/>
      </w:pPr>
      <w:r>
        <w:t xml:space="preserve">Sequence neighbors </w:t>
      </w:r>
      <w:r>
        <w:t xml:space="preserve">(+1/-1) </w:t>
      </w:r>
      <w:r>
        <w:t>to direct contact positions</w:t>
      </w:r>
    </w:p>
    <w:p w14:paraId="08CB34A8" w14:textId="11597858" w:rsidR="00667759" w:rsidRDefault="009C6F7F" w:rsidP="009C6F7F">
      <w:r>
        <w:t>68</w:t>
      </w:r>
      <w:r w:rsidR="001D3F6B">
        <w:t xml:space="preserve">, </w:t>
      </w:r>
      <w:r>
        <w:t>70</w:t>
      </w:r>
      <w:r w:rsidR="001D3F6B">
        <w:t xml:space="preserve">, </w:t>
      </w:r>
      <w:r>
        <w:t>72</w:t>
      </w:r>
      <w:r w:rsidR="001D3F6B">
        <w:t xml:space="preserve">, </w:t>
      </w:r>
      <w:r>
        <w:t>77</w:t>
      </w:r>
      <w:r w:rsidR="001D3F6B">
        <w:t xml:space="preserve">, </w:t>
      </w:r>
      <w:r>
        <w:t>78</w:t>
      </w:r>
      <w:r w:rsidR="001D3F6B">
        <w:t xml:space="preserve">, </w:t>
      </w:r>
      <w:r>
        <w:t>80</w:t>
      </w:r>
      <w:r w:rsidR="001D3F6B">
        <w:t xml:space="preserve">, </w:t>
      </w:r>
      <w:r>
        <w:t>100</w:t>
      </w:r>
      <w:r w:rsidR="001D3F6B">
        <w:t xml:space="preserve">, </w:t>
      </w:r>
      <w:r>
        <w:t>102</w:t>
      </w:r>
      <w:r w:rsidR="001D3F6B">
        <w:t xml:space="preserve">, </w:t>
      </w:r>
      <w:r>
        <w:t>124</w:t>
      </w:r>
      <w:r w:rsidR="001D3F6B">
        <w:t xml:space="preserve">, </w:t>
      </w:r>
      <w:r>
        <w:t>128</w:t>
      </w:r>
      <w:r w:rsidR="001D3F6B">
        <w:t xml:space="preserve">, </w:t>
      </w:r>
      <w:r>
        <w:t>147</w:t>
      </w:r>
      <w:r w:rsidR="001D3F6B">
        <w:t xml:space="preserve">, </w:t>
      </w:r>
      <w:r>
        <w:t>150</w:t>
      </w:r>
      <w:r w:rsidR="001D3F6B">
        <w:t xml:space="preserve">, </w:t>
      </w:r>
      <w:r>
        <w:t>159</w:t>
      </w:r>
      <w:r w:rsidR="001D3F6B">
        <w:t xml:space="preserve">, </w:t>
      </w:r>
      <w:r>
        <w:t>294</w:t>
      </w:r>
      <w:r w:rsidR="001D3F6B">
        <w:t xml:space="preserve">, </w:t>
      </w:r>
      <w:r>
        <w:t>295</w:t>
      </w:r>
      <w:r w:rsidR="001D3F6B">
        <w:t xml:space="preserve">, </w:t>
      </w:r>
      <w:r>
        <w:t>297</w:t>
      </w:r>
    </w:p>
    <w:sectPr w:rsidR="00667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F08"/>
    <w:rsid w:val="000A2845"/>
    <w:rsid w:val="000C4F08"/>
    <w:rsid w:val="001D33A8"/>
    <w:rsid w:val="001D3F6B"/>
    <w:rsid w:val="004430F7"/>
    <w:rsid w:val="004C48DB"/>
    <w:rsid w:val="00667759"/>
    <w:rsid w:val="00755B15"/>
    <w:rsid w:val="007A52A1"/>
    <w:rsid w:val="008A70E8"/>
    <w:rsid w:val="008D1487"/>
    <w:rsid w:val="008D34F8"/>
    <w:rsid w:val="00963A27"/>
    <w:rsid w:val="009A42DC"/>
    <w:rsid w:val="009C6F7F"/>
    <w:rsid w:val="00B5342D"/>
    <w:rsid w:val="00BA437B"/>
    <w:rsid w:val="00C61285"/>
    <w:rsid w:val="00D960CD"/>
    <w:rsid w:val="00EC468B"/>
    <w:rsid w:val="00EC68AB"/>
    <w:rsid w:val="00F6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E3D0"/>
  <w15:chartTrackingRefBased/>
  <w15:docId w15:val="{DAF1319F-789C-42EC-9C74-70EC4EA5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F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F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F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F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F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F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F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F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F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F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F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F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F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F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F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F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Kansas Medical Center</Company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Liskin Swint-Kruse</dc:creator>
  <cp:keywords/>
  <dc:description/>
  <cp:lastModifiedBy>Liskin Swint-Kruse</cp:lastModifiedBy>
  <cp:revision>6</cp:revision>
  <dcterms:created xsi:type="dcterms:W3CDTF">2026-02-18T21:40:00Z</dcterms:created>
  <dcterms:modified xsi:type="dcterms:W3CDTF">2026-04-15T18:45:00Z</dcterms:modified>
</cp:coreProperties>
</file>