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III</w:t>
      </w:r>
    </w:p>
    <w:p w:rsidR="007B5FC0" w:rsidRDefault="007B5FC0">
      <w:pPr>
        <w:jc w:val="left"/>
      </w:pPr>
    </w:p>
    <w:p w:rsidR="007B5FC0" w:rsidRDefault="007B5FC0">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кроме служебных.</w:t>
      </w:r>
    </w:p>
    <w:p w:rsidR="007B5FC0" w:rsidRDefault="007B5FC0">
      <w:r>
        <w:t xml:space="preserve">Ромашов часто разговаривал с Гайнаном о его богах, о которых, впрочем, сам черемис </w:t>
      </w:r>
      <w:r>
        <w:lastRenderedPageBreak/>
        <w:t>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Суртук тебе новый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xml:space="preserve">— Нет </w:t>
      </w:r>
      <w:bookmarkStart w:id="0" w:name="_GoBack"/>
      <w:r>
        <w:t>уж</w:t>
      </w:r>
      <w:bookmarkEnd w:id="0"/>
      <w:r>
        <w:t>, Гайнан… зачем уж… бог с ним… Давай,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w:t>
      </w:r>
      <w:r>
        <w:lastRenderedPageBreak/>
        <w:t>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r>
        <w:t xml:space="preserve"> .</w:t>
      </w:r>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И наконец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 xml:space="preserve">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w:t>
      </w:r>
      <w:r>
        <w:lastRenderedPageBreak/>
        <w:t>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Гайнан ласково и смущенно улыбнулся и затанцевал пуще прежнего.</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Он дружелюбно хлопнул по плечу черемиса, который в ответ молча улыбнулся ему широко, радостно и фамильярно.</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t xml:space="preserve"> ,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lastRenderedPageBreak/>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Ваша благородия, там денщик стоит. Спрашивает: будешь писать ответ?</w:t>
      </w:r>
    </w:p>
    <w:p w:rsidR="007B5FC0" w:rsidRDefault="007B5FC0">
      <w:r>
        <w:t>— Вот так так! — Ромашов вытаращил глаза и слегка присел. — Ссс… Надо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 xml:space="preserve">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w:t>
      </w:r>
      <w:r>
        <w:lastRenderedPageBreak/>
        <w:t>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lastRenderedPageBreak/>
        <w:t>— Пожалуйте, ваше благородие.</w:t>
      </w:r>
    </w:p>
    <w:p w:rsidR="007B5FC0" w:rsidRDefault="007B5FC0">
      <w:r>
        <w:t>— Да ты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rsidR="007B5FC0" w:rsidRDefault="007B5FC0">
      <w:r>
        <w:t>— Покорно благодарю. Пил уж. Я, господин полковник, пришел…</w:t>
      </w:r>
    </w:p>
    <w:p w:rsidR="007B5FC0" w:rsidRDefault="007B5FC0">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rsidR="007B5FC0" w:rsidRDefault="007B5FC0">
      <w:r>
        <w:t>— Простите… Я только что заметил, — у вас на плече сидит белая мышь…</w:t>
      </w:r>
    </w:p>
    <w:p w:rsidR="007B5FC0" w:rsidRDefault="007B5FC0">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rsidR="007B5FC0" w:rsidRDefault="007B5FC0">
      <w:r>
        <w:t>— Как они вас знают! — сказал Ромашов.</w:t>
      </w:r>
    </w:p>
    <w:p w:rsidR="007B5FC0" w:rsidRDefault="007B5FC0">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xml:space="preserve">— Труды? Гм… конечно, есть, и капитальнейшие. Вот, поглядите, даже у меня — целая библиотека. — Подполковник указал рукой на ряд шкафов вдоль стен. — Умно пишут и </w:t>
      </w:r>
      <w:r>
        <w:lastRenderedPageBreak/>
        <w:t>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Десять могу. Больше не могу, а десять с превеликим удовольствием. Вам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7B5FC0" w:rsidRDefault="007B5FC0">
      <w:r>
        <w:t>— Видите, каков? А ведь целый год его кормлю…</w:t>
      </w:r>
    </w:p>
    <w:p w:rsidR="007B5FC0" w:rsidRDefault="007B5FC0">
      <w:r>
        <w:lastRenderedPageBreak/>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rsidR="007B5FC0" w:rsidRDefault="007B5FC0">
      <w:r>
        <w:t>— Простите, Иван Антонович, — замялся Ромашов. — Я бы с радостью. Н-э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 Ну,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 Заходите, когда есть время. Потолкуем.</w:t>
      </w:r>
    </w:p>
    <w:p w:rsidR="007B5FC0" w:rsidRDefault="007B5FC0">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rsidR="007B5FC0" w:rsidRDefault="007B5FC0">
      <w:r>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Может быть, по этому случаю зайдем в собрание? Вонзим точно по единой,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lastRenderedPageBreak/>
        <w:t>—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Что и говорить! — согласился Веткин. — Только — псих!</w:t>
      </w:r>
    </w:p>
    <w:p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E09" w:rsidRDefault="001F3E09">
      <w:r>
        <w:separator/>
      </w:r>
    </w:p>
  </w:endnote>
  <w:endnote w:type="continuationSeparator" w:id="0">
    <w:p w:rsidR="001F3E09" w:rsidRDefault="001F3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E09" w:rsidRDefault="001F3E09">
      <w:r>
        <w:separator/>
      </w:r>
    </w:p>
  </w:footnote>
  <w:footnote w:type="continuationSeparator" w:id="0">
    <w:p w:rsidR="001F3E09" w:rsidRDefault="001F3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1F3E09"/>
    <w:rsid w:val="00327BF6"/>
    <w:rsid w:val="007B5FC0"/>
    <w:rsid w:val="007F0C93"/>
    <w:rsid w:val="0081350A"/>
    <w:rsid w:val="00AB0F55"/>
    <w:rsid w:val="00EB4962"/>
    <w:rsid w:val="00F42E2C"/>
    <w:rsid w:val="00FA3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961127C-FE4F-4317-8DA1-337D8DE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CE2DD8-889B-4287-8F36-D2273CD9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4901</Words>
  <Characters>27937</Characters>
  <Application>Microsoft Office Word</Application>
  <DocSecurity>0</DocSecurity>
  <Lines>232</Lines>
  <Paragraphs>65</Paragraphs>
  <ScaleCrop>false</ScaleCrop>
  <Company>FIPI</Company>
  <LinksUpToDate>false</LinksUpToDate>
  <CharactersWithSpaces>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Арсений</cp:lastModifiedBy>
  <cp:revision>5</cp:revision>
  <dcterms:created xsi:type="dcterms:W3CDTF">2023-02-08T15:50:00Z</dcterms:created>
  <dcterms:modified xsi:type="dcterms:W3CDTF">2024-11-09T19:50:00Z</dcterms:modified>
</cp:coreProperties>
</file>