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7B251FDD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155</w:t>
      </w:r>
      <w:r w:rsidR="002420B3">
        <w:rPr>
          <w:b/>
          <w:sz w:val="32"/>
        </w:rPr>
        <w:t>7</w:t>
      </w:r>
      <w:bookmarkStart w:id="0" w:name="_GoBack"/>
      <w:bookmarkEnd w:id="0"/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2744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2744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2744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1" w:name="_Toc201012859"/>
      <w:r>
        <w:lastRenderedPageBreak/>
        <w:t>INTRODUCCIÓN</w:t>
      </w:r>
      <w:bookmarkEnd w:id="1"/>
    </w:p>
    <w:p w14:paraId="1F11CF12" w14:textId="77777777" w:rsidR="00E72AEA" w:rsidRDefault="00200831" w:rsidP="00E300D8">
      <w:r>
        <w:t>En la adquisición y producción de conocimiento 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1E340D0C" w:rsidR="00262BF3" w:rsidRDefault="61CA3610" w:rsidP="00E300D8">
      <w:r>
        <w:t>Una vez identificado los conceptos claves, se analizará el título prescrito a partir de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>l hombre, que permitan analizar si conocer y comprender son procesos que trabajan en conjunto</w:t>
      </w:r>
      <w:r w:rsidR="19D2132A">
        <w:t xml:space="preserve"> desde perspectivas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conocer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20DF7C3D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conocer 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2" w:name="_Toc201012860"/>
      <w:r>
        <w:t>DESARROLLO</w:t>
      </w:r>
      <w:bookmarkEnd w:id="2"/>
    </w:p>
    <w:p w14:paraId="14C4AFE9" w14:textId="05663C28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6CC05124">
        <w:t>conocer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A717BE7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>de la estructura de la multiplicación sin primero comprender ¿qué es multiplicar?</w:t>
      </w:r>
      <w:r w:rsidR="00201C5E">
        <w:t>, memorizar l</w:t>
      </w:r>
      <w:r w:rsidR="0043248C">
        <w:t xml:space="preserve">os valores de los ángulos en radianes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BCD19F4" w14:textId="77777777" w:rsidR="00F1632E" w:rsidRDefault="006C0E10" w:rsidP="006C0E10">
      <w:r>
        <w:t xml:space="preserve">Esto provoca </w:t>
      </w:r>
      <w:r w:rsidR="005B37C4">
        <w:t>un malestar para quienes experimentan aprender de forma mecánica.</w:t>
      </w:r>
    </w:p>
    <w:p w14:paraId="6A0A1D8B" w14:textId="77777777" w:rsidR="000269A4" w:rsidRPr="006C0E10" w:rsidRDefault="006C0E10" w:rsidP="006C0E10"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61CDCEAD" w14:textId="6756FD0E" w:rsidR="00F812DB" w:rsidRDefault="6EA7A3F9" w:rsidP="00AE6305">
      <w:r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que es una ciencia demostrativa, no solo</w:t>
      </w:r>
      <w:r w:rsidR="187986DA">
        <w:t xml:space="preserve"> basta con </w:t>
      </w:r>
      <w:r w:rsidR="4314B447">
        <w:t xml:space="preserve">conocer, para ir más allá de lo superficial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  <w:r w:rsidR="24F5C658"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398DA940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 como</w:t>
      </w:r>
      <w:r w:rsidR="009D5854">
        <w:t xml:space="preserve"> conocer: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3D7AED27" w:rsidR="00F812DB" w:rsidRDefault="008B5B20" w:rsidP="00AE6305">
      <w:r>
        <w:t xml:space="preserve">Es por esto que, </w:t>
      </w:r>
      <w:r w:rsidR="0050336C">
        <w:t>en las Matemática el conocer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45935D00" w14:textId="30F28E19" w:rsidR="00292818" w:rsidRDefault="00872D8A" w:rsidP="00AE6305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derivan otras como las que estudian </w:t>
      </w:r>
      <w:r w:rsidR="00292818">
        <w:t>la idealidad (cómo debería ser la realidad) ciencias normativas: ética y moral</w:t>
      </w:r>
      <w:r w:rsidR="00131C15">
        <w:t xml:space="preserve">, ciencias prescriptivas (política, pedagogía, el derecho, la poética) y </w:t>
      </w:r>
    </w:p>
    <w:p w14:paraId="60A33D74" w14:textId="77777777" w:rsidR="00F10E71" w:rsidRDefault="0076343E" w:rsidP="006677EA">
      <w:r>
        <w:t>la realidad (</w:t>
      </w:r>
      <w:r w:rsidR="00914069">
        <w:t xml:space="preserve">ciencias </w:t>
      </w:r>
      <w:r>
        <w:t>descriptivas) sociología, antropología cultural, comunicación, psicología</w:t>
      </w:r>
      <w:r w:rsidR="00B82404">
        <w:t xml:space="preserve">. </w:t>
      </w:r>
    </w:p>
    <w:p w14:paraId="171D0AC9" w14:textId="34404CFC" w:rsidR="004E3F5C" w:rsidRDefault="00B82404" w:rsidP="006677EA">
      <w:r>
        <w:t xml:space="preserve">Para esta ocasión, se va a escoger la psicología </w:t>
      </w:r>
      <w:r w:rsidR="00BF1B41">
        <w:t>poniendo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correctas</w:t>
      </w:r>
      <w:r w:rsidR="00EB29AD">
        <w:t xml:space="preserve">, que sustentan </w:t>
      </w:r>
      <w:r w:rsidR="004B78F2">
        <w:t xml:space="preserve">un estudio holístico en el que se requiere </w:t>
      </w:r>
      <w:r w:rsidR="00774628">
        <w:t xml:space="preserve">identificar </w:t>
      </w:r>
      <w:r w:rsidR="004B78F2">
        <w:t>el trastorno mental</w:t>
      </w:r>
      <w:r w:rsidR="00C44EEE">
        <w:t xml:space="preserve"> y su conexión con </w:t>
      </w:r>
      <w:r w:rsidR="00774628">
        <w:t>conceptos</w:t>
      </w:r>
      <w:r w:rsidR="00C44EEE">
        <w:t xml:space="preserve"> de “salud”, “</w:t>
      </w:r>
      <w:r w:rsidR="00A02D33">
        <w:t>enfermedad”</w:t>
      </w:r>
      <w:r w:rsidR="009F34A4">
        <w:t>. I</w:t>
      </w:r>
      <w:r w:rsidR="00CE182B">
        <w:t>mplicando que ambos procesos tienen una interdependencia que favorecen a las investigaciones pertinentes</w:t>
      </w:r>
      <w:r w:rsidR="005525BE">
        <w:t>, ya que conocer va a permitir distinguir las patologías de una enfermedad</w:t>
      </w:r>
      <w:r w:rsidR="00CE182B">
        <w:t xml:space="preserve">. </w:t>
      </w:r>
    </w:p>
    <w:p w14:paraId="232D41FC" w14:textId="6E442B71" w:rsidR="00481972" w:rsidRDefault="00E55599" w:rsidP="008C3E39">
      <w:r>
        <w:t>Por su lado</w:t>
      </w:r>
      <w:r w:rsidR="0067556B">
        <w:t>,</w:t>
      </w:r>
      <w:r w:rsidR="00CD2AE5">
        <w:t xml:space="preserve"> </w:t>
      </w:r>
      <w:r w:rsidR="00582047">
        <w:t>comprender debe</w:t>
      </w:r>
      <w:r w:rsidR="00CD2AE5">
        <w:t xml:space="preserve"> ayudar a </w:t>
      </w:r>
      <w:r>
        <w:t>interpretar</w:t>
      </w:r>
      <w:r w:rsidR="00582047">
        <w:t xml:space="preserve">, </w:t>
      </w:r>
      <w:r>
        <w:t xml:space="preserve">estudiar </w:t>
      </w:r>
      <w:r w:rsidR="00CD2AE5">
        <w:t xml:space="preserve">el estilo de vida, </w:t>
      </w:r>
      <w:r w:rsidR="00097240">
        <w:t>c</w:t>
      </w:r>
      <w:r w:rsidR="00AE52AF">
        <w:t>ondiciones de vida psicosociales, su cultura</w:t>
      </w:r>
      <w:r w:rsidR="00097240">
        <w:t xml:space="preserve"> y </w:t>
      </w:r>
      <w:r w:rsidR="000453D8">
        <w:t>la evolución de la enfermedad</w:t>
      </w:r>
      <w:r w:rsidR="00AF4D60">
        <w:t xml:space="preserve">, </w:t>
      </w:r>
      <w:proofErr w:type="spellStart"/>
      <w:r w:rsidR="007C7FBC">
        <w:t>Mebarak</w:t>
      </w:r>
      <w:proofErr w:type="spellEnd"/>
      <w:r w:rsidR="00AF4D60">
        <w:t xml:space="preserve"> et al</w:t>
      </w:r>
      <w:r w:rsidR="007C7FBC">
        <w:t xml:space="preserve">. </w:t>
      </w:r>
      <w:r w:rsidR="00AF4D60">
        <w:t>(2009)</w:t>
      </w:r>
      <w:r w:rsidR="006677EA">
        <w:t xml:space="preserve"> mencionan que “</w:t>
      </w:r>
      <w:r w:rsidR="000453D8" w:rsidRPr="000453D8">
        <w:t>a partir del conocimiento de distintos aspectos de la realidad, tales como son los aspectos sociales, culturales, biológicos, emocionales, cognitivos y económicos, entre otros</w:t>
      </w:r>
      <w:r w:rsidR="006677EA">
        <w:t>” (p. 23)</w:t>
      </w:r>
      <w:r w:rsidR="000453D8" w:rsidRPr="000453D8">
        <w:t>.</w:t>
      </w:r>
      <w:r w:rsidR="001C36F1">
        <w:t xml:space="preserve"> </w:t>
      </w:r>
      <w:r w:rsidR="008C3E39">
        <w:t xml:space="preserve"> No obstante, esto no puedo solo quedarse en conocer estos rasgos de personalidad e inferir de inmediato en una respuesta a una “presunta enfermedad mental”. </w:t>
      </w:r>
    </w:p>
    <w:p w14:paraId="4DDBFC6D" w14:textId="1706E416" w:rsidR="000453D8" w:rsidRDefault="008C3E39" w:rsidP="008C3E39">
      <w:r>
        <w:t>Ya que a</w:t>
      </w:r>
      <w:r w:rsidR="001C36F1">
        <w:t>un conociendo esto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C674F1">
        <w:t>resultado ya sea por el contexto cultural de la persona tratada y como ciertos términos de “normalidad”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</w:t>
      </w:r>
      <w:r w:rsidR="006863E0">
        <w:lastRenderedPageBreak/>
        <w:t>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en </w:t>
      </w:r>
      <w:r w:rsidR="004E3F5C">
        <w:t>específico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04068A75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 xml:space="preserve">(se basa de forma más subjetiva dependiendo las respuestas que se tiene de los entrevistados,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2581C4C6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>n parte de su análisis en conocer 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7E66955A" w14:textId="7E7AFD16" w:rsidR="009D440C" w:rsidRDefault="009D440C" w:rsidP="00561808"/>
    <w:p w14:paraId="4F4C2084" w14:textId="471997B8" w:rsidR="009D440C" w:rsidRDefault="009D440C" w:rsidP="00561808"/>
    <w:p w14:paraId="3BDE492F" w14:textId="77777777" w:rsidR="009D440C" w:rsidRDefault="009D440C" w:rsidP="00561808"/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lastRenderedPageBreak/>
        <w:t>CONCLUSIÓN</w:t>
      </w:r>
      <w:bookmarkEnd w:id="3"/>
    </w:p>
    <w:p w14:paraId="05FDC607" w14:textId="2962354B" w:rsidR="005553B5" w:rsidRDefault="0088612C" w:rsidP="00AE6305">
      <w:r>
        <w:t xml:space="preserve">En conclusión, al haber abordado el titulo prescripto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y razonable que provea la total 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D33D97">
        <w:t>conocer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69588BA2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>que pase de lo abstracto a la solución de problemáticas en la vida real que generen más avances científicos y tecnológicos para la humanidad</w:t>
      </w:r>
      <w:r w:rsidR="00657C23">
        <w:t>. Recordando que existe una clara dependencia y necesidad de complementarse el conocer con el comprender.</w:t>
      </w:r>
      <w:r w:rsidR="00296E83">
        <w:t xml:space="preserve"> Todo esto me lleva a cuestionarme acerca de ¿qué estamos haciendo como sociedad para que los estudiantes </w:t>
      </w:r>
      <w:r w:rsidR="007367B9">
        <w:t>lleguen a un desarrollo cognitivo apto a las necesidades del mundo? ¿dejaremos que la inteligencia artificial nos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274402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AC93E" w14:textId="77777777" w:rsidR="00274402" w:rsidRDefault="00274402" w:rsidP="005E72EB">
      <w:pPr>
        <w:spacing w:line="240" w:lineRule="auto"/>
      </w:pPr>
      <w:r>
        <w:separator/>
      </w:r>
    </w:p>
  </w:endnote>
  <w:endnote w:type="continuationSeparator" w:id="0">
    <w:p w14:paraId="6978C57E" w14:textId="77777777" w:rsidR="00274402" w:rsidRDefault="00274402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506EC" w14:textId="77777777" w:rsidR="00274402" w:rsidRDefault="00274402" w:rsidP="005E72EB">
      <w:pPr>
        <w:spacing w:line="240" w:lineRule="auto"/>
      </w:pPr>
      <w:r>
        <w:separator/>
      </w:r>
    </w:p>
  </w:footnote>
  <w:footnote w:type="continuationSeparator" w:id="0">
    <w:p w14:paraId="1F97382C" w14:textId="77777777" w:rsidR="00274402" w:rsidRDefault="00274402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5DAF0FB0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0B3" w:rsidRPr="002420B3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75BD"/>
    <w:rsid w:val="00022182"/>
    <w:rsid w:val="000269A4"/>
    <w:rsid w:val="00032998"/>
    <w:rsid w:val="00040904"/>
    <w:rsid w:val="000453D8"/>
    <w:rsid w:val="00050AB0"/>
    <w:rsid w:val="00051B60"/>
    <w:rsid w:val="00097240"/>
    <w:rsid w:val="000A4BC0"/>
    <w:rsid w:val="000B3965"/>
    <w:rsid w:val="000C3C39"/>
    <w:rsid w:val="000D3170"/>
    <w:rsid w:val="000E5127"/>
    <w:rsid w:val="000F7655"/>
    <w:rsid w:val="00116EE7"/>
    <w:rsid w:val="0012605C"/>
    <w:rsid w:val="00126676"/>
    <w:rsid w:val="00131C15"/>
    <w:rsid w:val="00135D95"/>
    <w:rsid w:val="001434DA"/>
    <w:rsid w:val="00155CE5"/>
    <w:rsid w:val="0015705B"/>
    <w:rsid w:val="001628ED"/>
    <w:rsid w:val="001661D8"/>
    <w:rsid w:val="00180091"/>
    <w:rsid w:val="00186344"/>
    <w:rsid w:val="001B096B"/>
    <w:rsid w:val="001C04AE"/>
    <w:rsid w:val="001C0511"/>
    <w:rsid w:val="001C14E0"/>
    <w:rsid w:val="001C36F1"/>
    <w:rsid w:val="001D49E2"/>
    <w:rsid w:val="001F33D7"/>
    <w:rsid w:val="001F5CA0"/>
    <w:rsid w:val="00200831"/>
    <w:rsid w:val="00201C5E"/>
    <w:rsid w:val="00221B54"/>
    <w:rsid w:val="0022366A"/>
    <w:rsid w:val="002330CE"/>
    <w:rsid w:val="00234D38"/>
    <w:rsid w:val="00241974"/>
    <w:rsid w:val="00241AA1"/>
    <w:rsid w:val="002420B3"/>
    <w:rsid w:val="00261940"/>
    <w:rsid w:val="00262BF3"/>
    <w:rsid w:val="00274402"/>
    <w:rsid w:val="00275845"/>
    <w:rsid w:val="00275F2A"/>
    <w:rsid w:val="00280288"/>
    <w:rsid w:val="0028496F"/>
    <w:rsid w:val="002849A8"/>
    <w:rsid w:val="00285E33"/>
    <w:rsid w:val="0028DE3F"/>
    <w:rsid w:val="00292818"/>
    <w:rsid w:val="00294F72"/>
    <w:rsid w:val="00296E83"/>
    <w:rsid w:val="002A47F9"/>
    <w:rsid w:val="002C3304"/>
    <w:rsid w:val="002C3F85"/>
    <w:rsid w:val="002E0656"/>
    <w:rsid w:val="002E1159"/>
    <w:rsid w:val="003122CB"/>
    <w:rsid w:val="00320134"/>
    <w:rsid w:val="003213C1"/>
    <w:rsid w:val="00326474"/>
    <w:rsid w:val="003426E5"/>
    <w:rsid w:val="003A0C81"/>
    <w:rsid w:val="003A42AD"/>
    <w:rsid w:val="003B5126"/>
    <w:rsid w:val="003B7938"/>
    <w:rsid w:val="003D0EDA"/>
    <w:rsid w:val="003D3807"/>
    <w:rsid w:val="00402806"/>
    <w:rsid w:val="00410DE0"/>
    <w:rsid w:val="00414F0F"/>
    <w:rsid w:val="004235A7"/>
    <w:rsid w:val="0043248C"/>
    <w:rsid w:val="00433048"/>
    <w:rsid w:val="00452A29"/>
    <w:rsid w:val="0047290D"/>
    <w:rsid w:val="00481972"/>
    <w:rsid w:val="00497EAB"/>
    <w:rsid w:val="004A1A49"/>
    <w:rsid w:val="004B067A"/>
    <w:rsid w:val="004B56FB"/>
    <w:rsid w:val="004B78F2"/>
    <w:rsid w:val="004C0B83"/>
    <w:rsid w:val="004E3F5C"/>
    <w:rsid w:val="004F77D3"/>
    <w:rsid w:val="004F7A29"/>
    <w:rsid w:val="0050336C"/>
    <w:rsid w:val="005264BA"/>
    <w:rsid w:val="005518DF"/>
    <w:rsid w:val="005525BE"/>
    <w:rsid w:val="00553A6C"/>
    <w:rsid w:val="005553B5"/>
    <w:rsid w:val="00556CCF"/>
    <w:rsid w:val="00561808"/>
    <w:rsid w:val="00565B52"/>
    <w:rsid w:val="00567B5A"/>
    <w:rsid w:val="0057483D"/>
    <w:rsid w:val="005751DE"/>
    <w:rsid w:val="00582047"/>
    <w:rsid w:val="0058649B"/>
    <w:rsid w:val="0059030A"/>
    <w:rsid w:val="0059323A"/>
    <w:rsid w:val="005A1297"/>
    <w:rsid w:val="005A4922"/>
    <w:rsid w:val="005B37C4"/>
    <w:rsid w:val="005B7007"/>
    <w:rsid w:val="005C71A9"/>
    <w:rsid w:val="005E72EB"/>
    <w:rsid w:val="005F009F"/>
    <w:rsid w:val="005F73DE"/>
    <w:rsid w:val="00606D98"/>
    <w:rsid w:val="00621D8E"/>
    <w:rsid w:val="00641FEE"/>
    <w:rsid w:val="006511BE"/>
    <w:rsid w:val="0065171E"/>
    <w:rsid w:val="0065522E"/>
    <w:rsid w:val="00657C23"/>
    <w:rsid w:val="006677EA"/>
    <w:rsid w:val="0067556B"/>
    <w:rsid w:val="00676D67"/>
    <w:rsid w:val="00677D0F"/>
    <w:rsid w:val="006863E0"/>
    <w:rsid w:val="00690CA0"/>
    <w:rsid w:val="0069356F"/>
    <w:rsid w:val="006A794E"/>
    <w:rsid w:val="006B7C71"/>
    <w:rsid w:val="006C0E10"/>
    <w:rsid w:val="006C7526"/>
    <w:rsid w:val="00703B99"/>
    <w:rsid w:val="007042CC"/>
    <w:rsid w:val="00706E63"/>
    <w:rsid w:val="007360C1"/>
    <w:rsid w:val="007367B9"/>
    <w:rsid w:val="0074534D"/>
    <w:rsid w:val="0076343E"/>
    <w:rsid w:val="00774628"/>
    <w:rsid w:val="00794989"/>
    <w:rsid w:val="007C0D73"/>
    <w:rsid w:val="007C7FBC"/>
    <w:rsid w:val="007F11FB"/>
    <w:rsid w:val="0080357B"/>
    <w:rsid w:val="008128AF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70008"/>
    <w:rsid w:val="00872D8A"/>
    <w:rsid w:val="00884FF2"/>
    <w:rsid w:val="0088612C"/>
    <w:rsid w:val="00886AA2"/>
    <w:rsid w:val="008B5B20"/>
    <w:rsid w:val="008B7C0B"/>
    <w:rsid w:val="008C3E39"/>
    <w:rsid w:val="008D446A"/>
    <w:rsid w:val="008D51AD"/>
    <w:rsid w:val="008D5294"/>
    <w:rsid w:val="008D768B"/>
    <w:rsid w:val="008F647B"/>
    <w:rsid w:val="00907D89"/>
    <w:rsid w:val="00914069"/>
    <w:rsid w:val="00922EA8"/>
    <w:rsid w:val="009405BD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D440C"/>
    <w:rsid w:val="009D5854"/>
    <w:rsid w:val="009E0A44"/>
    <w:rsid w:val="009F0FA9"/>
    <w:rsid w:val="009F34A4"/>
    <w:rsid w:val="00A02D33"/>
    <w:rsid w:val="00A07349"/>
    <w:rsid w:val="00A221F3"/>
    <w:rsid w:val="00A223B0"/>
    <w:rsid w:val="00A6017B"/>
    <w:rsid w:val="00A60FB1"/>
    <w:rsid w:val="00A61A71"/>
    <w:rsid w:val="00A72F01"/>
    <w:rsid w:val="00A77DBD"/>
    <w:rsid w:val="00A80798"/>
    <w:rsid w:val="00A977AC"/>
    <w:rsid w:val="00AC2FD9"/>
    <w:rsid w:val="00AC423E"/>
    <w:rsid w:val="00AD5472"/>
    <w:rsid w:val="00AE52AF"/>
    <w:rsid w:val="00AE6305"/>
    <w:rsid w:val="00AE6D14"/>
    <w:rsid w:val="00AF4D60"/>
    <w:rsid w:val="00B005F2"/>
    <w:rsid w:val="00B107F9"/>
    <w:rsid w:val="00B241C8"/>
    <w:rsid w:val="00B24B7B"/>
    <w:rsid w:val="00B50A17"/>
    <w:rsid w:val="00B5656D"/>
    <w:rsid w:val="00B650FD"/>
    <w:rsid w:val="00B80FFB"/>
    <w:rsid w:val="00B82404"/>
    <w:rsid w:val="00BB0272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6993"/>
    <w:rsid w:val="00C674F1"/>
    <w:rsid w:val="00C90687"/>
    <w:rsid w:val="00CA76D6"/>
    <w:rsid w:val="00CB29EC"/>
    <w:rsid w:val="00CD2AE5"/>
    <w:rsid w:val="00CD5F03"/>
    <w:rsid w:val="00CD764B"/>
    <w:rsid w:val="00CE182B"/>
    <w:rsid w:val="00CE2E59"/>
    <w:rsid w:val="00CE5903"/>
    <w:rsid w:val="00D31C08"/>
    <w:rsid w:val="00D33D97"/>
    <w:rsid w:val="00D42ADF"/>
    <w:rsid w:val="00D44102"/>
    <w:rsid w:val="00D76AE7"/>
    <w:rsid w:val="00DA3FF8"/>
    <w:rsid w:val="00DA6C89"/>
    <w:rsid w:val="00DB2FFE"/>
    <w:rsid w:val="00DB6EB0"/>
    <w:rsid w:val="00DC3610"/>
    <w:rsid w:val="00DC629A"/>
    <w:rsid w:val="00DD1415"/>
    <w:rsid w:val="00DE1B3C"/>
    <w:rsid w:val="00E03738"/>
    <w:rsid w:val="00E04499"/>
    <w:rsid w:val="00E069C9"/>
    <w:rsid w:val="00E300D8"/>
    <w:rsid w:val="00E3646B"/>
    <w:rsid w:val="00E3677F"/>
    <w:rsid w:val="00E36A90"/>
    <w:rsid w:val="00E36C03"/>
    <w:rsid w:val="00E41F22"/>
    <w:rsid w:val="00E43D96"/>
    <w:rsid w:val="00E47BBE"/>
    <w:rsid w:val="00E521C9"/>
    <w:rsid w:val="00E55599"/>
    <w:rsid w:val="00E62C9C"/>
    <w:rsid w:val="00E64863"/>
    <w:rsid w:val="00E72AEA"/>
    <w:rsid w:val="00E84A1C"/>
    <w:rsid w:val="00E93923"/>
    <w:rsid w:val="00EB29AD"/>
    <w:rsid w:val="00ED5D39"/>
    <w:rsid w:val="00EE0F85"/>
    <w:rsid w:val="00EF04E2"/>
    <w:rsid w:val="00EF6FCD"/>
    <w:rsid w:val="00EF7A64"/>
    <w:rsid w:val="00F10E71"/>
    <w:rsid w:val="00F1632E"/>
    <w:rsid w:val="00F166A3"/>
    <w:rsid w:val="00F21A4E"/>
    <w:rsid w:val="00F35CA3"/>
    <w:rsid w:val="00F538E4"/>
    <w:rsid w:val="00F57C10"/>
    <w:rsid w:val="00F75823"/>
    <w:rsid w:val="00F812DB"/>
    <w:rsid w:val="00F82918"/>
    <w:rsid w:val="00F97D95"/>
    <w:rsid w:val="00FA0628"/>
    <w:rsid w:val="00FA12A3"/>
    <w:rsid w:val="00FA1C5A"/>
    <w:rsid w:val="00FA70D6"/>
    <w:rsid w:val="00FD38EF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FA4B-D9FE-408C-A14E-09161A50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1974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198</cp:revision>
  <dcterms:created xsi:type="dcterms:W3CDTF">2025-05-14T06:15:00Z</dcterms:created>
  <dcterms:modified xsi:type="dcterms:W3CDTF">2025-07-15T00:06:00Z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