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05211258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="00647F42">
        <w:t>raza</w:t>
      </w:r>
      <w:bookmarkStart w:id="0" w:name="_GoBack"/>
      <w:bookmarkEnd w:id="0"/>
      <w:r w:rsidRPr="006A6F0C">
        <w:t xml:space="preserve">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</w:t>
      </w:r>
      <w:r w:rsidR="000920B5">
        <w:lastRenderedPageBreak/>
        <w:t xml:space="preserve">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527AFF59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>El título del libro “</w:t>
      </w:r>
      <w:proofErr w:type="spellStart"/>
      <w:r w:rsidR="004C7C19">
        <w:t>Grammar</w:t>
      </w:r>
      <w:proofErr w:type="spellEnd"/>
      <w:r w:rsidR="004C7C19">
        <w:t xml:space="preserve"> and </w:t>
      </w:r>
      <w:proofErr w:type="spellStart"/>
      <w:r w:rsidR="004C7C19">
        <w:t>Beyond</w:t>
      </w:r>
      <w:proofErr w:type="spellEnd"/>
      <w:r w:rsidR="004C7C19">
        <w:t xml:space="preserve">” </w:t>
      </w:r>
      <w:r w:rsidR="00DC178E">
        <w:t xml:space="preserve">que en español se traduce a “Gramática y más” </w:t>
      </w:r>
      <w:r w:rsidR="00E620CE">
        <w:t xml:space="preserve">da a entender que su contenido proporciona temas y </w:t>
      </w:r>
      <w:proofErr w:type="spellStart"/>
      <w:r w:rsidR="00E620CE">
        <w:t>tips</w:t>
      </w:r>
      <w:proofErr w:type="spellEnd"/>
      <w:r w:rsidR="00E620CE">
        <w:t xml:space="preserve"> increíbles para perfeccionar mis habilidades de escritura, lo cual es cierto, ya que </w:t>
      </w:r>
      <w:r w:rsidR="00F06092">
        <w:t>al haber sido el último libro que estudie para gramática</w:t>
      </w:r>
      <w:r w:rsidR="00CF53F4">
        <w:t xml:space="preserve"> mejoro y 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9D5473"/>
    <w:p w14:paraId="144A5D23" w14:textId="7ACAE686" w:rsidR="00A935AE" w:rsidRDefault="00A935AE" w:rsidP="00CF7D3F">
      <w:pPr>
        <w:ind w:firstLine="0"/>
      </w:pPr>
    </w:p>
    <w:p w14:paraId="4197D3C4" w14:textId="77777777" w:rsidR="00A935AE" w:rsidRDefault="00B37671" w:rsidP="009D5473">
      <w:hyperlink r:id="rId9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B37671" w:rsidP="009D5473">
      <w:hyperlink r:id="rId10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B37671" w:rsidP="009D5473">
      <w:pPr>
        <w:rPr>
          <w:lang w:val="en-US"/>
        </w:rPr>
      </w:pPr>
      <w:hyperlink r:id="rId11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2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B586C" w14:textId="77777777" w:rsidR="00B37671" w:rsidRDefault="00B37671" w:rsidP="00CF7D3F">
      <w:pPr>
        <w:spacing w:line="240" w:lineRule="auto"/>
      </w:pPr>
      <w:r>
        <w:separator/>
      </w:r>
    </w:p>
  </w:endnote>
  <w:endnote w:type="continuationSeparator" w:id="0">
    <w:p w14:paraId="08126F27" w14:textId="77777777" w:rsidR="00B37671" w:rsidRDefault="00B37671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301CD" w14:textId="77777777" w:rsidR="00B37671" w:rsidRDefault="00B37671" w:rsidP="00CF7D3F">
      <w:pPr>
        <w:spacing w:line="240" w:lineRule="auto"/>
      </w:pPr>
      <w:r>
        <w:separator/>
      </w:r>
    </w:p>
  </w:footnote>
  <w:footnote w:type="continuationSeparator" w:id="0">
    <w:p w14:paraId="3CBAD46E" w14:textId="77777777" w:rsidR="00B37671" w:rsidRDefault="00B37671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Content>
      <w:p w14:paraId="2C741226" w14:textId="505EF964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47F42" w:rsidRPr="00647F42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4192C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6C0A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13458"/>
    <w:rsid w:val="005560CE"/>
    <w:rsid w:val="00582B11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47F42"/>
    <w:rsid w:val="00696587"/>
    <w:rsid w:val="006A6F0C"/>
    <w:rsid w:val="006D7367"/>
    <w:rsid w:val="006F7E0F"/>
    <w:rsid w:val="007169C8"/>
    <w:rsid w:val="0075141E"/>
    <w:rsid w:val="00752EBC"/>
    <w:rsid w:val="007537E6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37671"/>
    <w:rsid w:val="00B7106A"/>
    <w:rsid w:val="00B94927"/>
    <w:rsid w:val="00BA2C6B"/>
    <w:rsid w:val="00BB3768"/>
    <w:rsid w:val="00BB5F7E"/>
    <w:rsid w:val="00C216BA"/>
    <w:rsid w:val="00C3568F"/>
    <w:rsid w:val="00C41425"/>
    <w:rsid w:val="00C9719D"/>
    <w:rsid w:val="00CC066E"/>
    <w:rsid w:val="00CD306F"/>
    <w:rsid w:val="00CF53F4"/>
    <w:rsid w:val="00CF7D3F"/>
    <w:rsid w:val="00D0632A"/>
    <w:rsid w:val="00D141B0"/>
    <w:rsid w:val="00D5092F"/>
    <w:rsid w:val="00D912B4"/>
    <w:rsid w:val="00DC178E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researchgate.net/publication/233955300_Observational_Learning_and_Encult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/Users/Lisnery%20Torres/Downloads/administrador,+Cedamaz-7-26-38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dalyc.org/journal/356/35655222002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org.mx/scielo.php?pid=S2007-74672017000200025&amp;script=sci_art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1042</Words>
  <Characters>5497</Characters>
  <Application>Microsoft Office Word</Application>
  <DocSecurity>0</DocSecurity>
  <Lines>116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57</cp:revision>
  <dcterms:created xsi:type="dcterms:W3CDTF">2024-11-25T23:26:00Z</dcterms:created>
  <dcterms:modified xsi:type="dcterms:W3CDTF">2024-12-01T03:08:00Z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