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期末報告（繁體中文稿）——§5 測試（證據）、§6 結論（詮釋）、§7 未來方向；試驗對象為 n = 20 位低視能成人。</w:t>
      </w:r>
    </w:p>
    <w:p>
      <w:pPr>
        <w:pStyle w:val="ListBullet"/>
      </w:pPr>
      <w:r>
        <w:t>§5：實際施測內容與數字（表格、簡短註記）。</w:t>
      </w:r>
    </w:p>
    <w:p>
      <w:pPr>
        <w:pStyle w:val="ListBullet"/>
      </w:pPr>
      <w:r>
        <w:t>§6：這些數據合理支持什麼、以及尚不足以證明什麼。</w:t>
      </w:r>
    </w:p>
    <w:p>
      <w:pPr>
        <w:pStyle w:val="ListBullet"/>
      </w:pPr>
      <w:r>
        <w:t>§7：在本專案週期之外，後續可延伸的方向（非本稿承諾事項）。</w:t>
      </w:r>
    </w:p>
    <w:p>
      <w:pPr>
        <w:pStyle w:val="Heading1"/>
      </w:pPr>
      <w:r>
        <w:rPr>
          <w:sz w:val="28"/>
        </w:rPr>
        <w:t>5. 測試</w:t>
      </w:r>
    </w:p>
    <w:p>
      <w:pPr>
        <w:pStyle w:val="Heading2"/>
      </w:pPr>
      <w:r>
        <w:t>5.1 目標</w:t>
      </w:r>
    </w:p>
    <w:p>
      <w:r>
        <w:t>本場次檢驗：相對於短時間、無口語修正提示的基線，以裝置端辨識連動的口語回饋，是否能提升低視能使用者的手寫辨識準確度，以及主觀可用性是否可接受。</w:t>
      </w:r>
    </w:p>
    <w:p>
      <w:pPr>
        <w:pStyle w:val="ListBullet"/>
      </w:pPr>
      <w:r>
        <w:t>準確度：題目與計分規則相同；比較基線（無修正語音）與回饋階段。</w:t>
      </w:r>
    </w:p>
    <w:p>
      <w:pPr>
        <w:pStyle w:val="ListBullet"/>
      </w:pPr>
      <w:r>
        <w:t>體驗：以李克特量表評估引導、操作、延遲，以及與日常顯示習慣的契合度。</w:t>
      </w:r>
    </w:p>
    <w:p>
      <w:pPr>
        <w:pStyle w:val="Heading2"/>
      </w:pPr>
      <w:r>
        <w:t>5.2 評估設計（摘要）</w:t>
      </w:r>
    </w:p>
    <w:p>
      <w:r>
        <w:t>表 5.1　評估設計（摘要）。</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left"/>
            </w:pPr>
            <w:r/>
            <w:r>
              <w:rPr>
                <w:b/>
                <w:sz w:val="20"/>
              </w:rPr>
              <w:t>項目</w:t>
            </w:r>
          </w:p>
        </w:tc>
        <w:tc>
          <w:tcPr>
            <w:tcW w:type="dxa" w:w="4680"/>
          </w:tcPr>
          <w:p>
            <w:pPr>
              <w:jc w:val="left"/>
            </w:pPr>
            <w:r/>
            <w:r>
              <w:rPr>
                <w:b/>
                <w:sz w:val="20"/>
              </w:rPr>
              <w:t>說明</w:t>
            </w:r>
          </w:p>
        </w:tc>
      </w:tr>
      <w:tr>
        <w:tc>
          <w:tcPr>
            <w:tcW w:type="dxa" w:w="4680"/>
          </w:tcPr>
          <w:p>
            <w:pPr>
              <w:jc w:val="left"/>
            </w:pPr>
            <w:r/>
            <w:r>
              <w:rPr>
                <w:b/>
                <w:sz w:val="20"/>
              </w:rPr>
              <w:t>樣本</w:t>
            </w:r>
          </w:p>
        </w:tc>
        <w:tc>
          <w:tcPr>
            <w:tcW w:type="dxa" w:w="4680"/>
          </w:tcPr>
          <w:p>
            <w:pPr>
              <w:jc w:val="left"/>
            </w:pPr>
            <w:r/>
            <w:r>
              <w:rPr>
                <w:b w:val="0"/>
                <w:sz w:val="20"/>
              </w:rPr>
              <w:t>n = 20，低視能成人，診斷多元。</w:t>
            </w:r>
          </w:p>
        </w:tc>
      </w:tr>
      <w:tr>
        <w:tc>
          <w:tcPr>
            <w:tcW w:type="dxa" w:w="4680"/>
          </w:tcPr>
          <w:p>
            <w:pPr>
              <w:jc w:val="left"/>
            </w:pPr>
            <w:r/>
            <w:r>
              <w:rPr>
                <w:b/>
                <w:sz w:val="20"/>
              </w:rPr>
              <w:t>流程</w:t>
            </w:r>
          </w:p>
        </w:tc>
        <w:tc>
          <w:tcPr>
            <w:tcW w:type="dxa" w:w="4680"/>
          </w:tcPr>
          <w:p>
            <w:pPr>
              <w:jc w:val="left"/>
            </w:pPr>
            <w:r/>
            <w:r>
              <w:rPr>
                <w:b w:val="0"/>
                <w:sz w:val="20"/>
              </w:rPr>
              <w:t>單次到訪；先基線再回饋（必要時採對抗平衡順序）。</w:t>
            </w:r>
          </w:p>
        </w:tc>
      </w:tr>
      <w:tr>
        <w:tc>
          <w:tcPr>
            <w:tcW w:type="dxa" w:w="4680"/>
          </w:tcPr>
          <w:p>
            <w:pPr>
              <w:jc w:val="left"/>
            </w:pPr>
            <w:r/>
            <w:r>
              <w:rPr>
                <w:b/>
                <w:sz w:val="20"/>
              </w:rPr>
              <w:t>結果變項</w:t>
            </w:r>
          </w:p>
        </w:tc>
        <w:tc>
          <w:tcPr>
            <w:tcW w:type="dxa" w:w="4680"/>
          </w:tcPr>
          <w:p>
            <w:pPr>
              <w:jc w:val="left"/>
            </w:pPr>
            <w:r/>
            <w:r>
              <w:rPr>
                <w:b w:val="0"/>
                <w:sz w:val="20"/>
              </w:rPr>
              <w:t>首次完整嘗試中，裝置辨識器於第一時間將筆跡標為目標字元正確者之百分比。</w:t>
            </w:r>
          </w:p>
        </w:tc>
      </w:tr>
      <w:tr>
        <w:tc>
          <w:tcPr>
            <w:tcW w:type="dxa" w:w="4680"/>
          </w:tcPr>
          <w:p>
            <w:pPr>
              <w:jc w:val="left"/>
            </w:pPr>
            <w:r/>
            <w:r>
              <w:rPr>
                <w:b/>
                <w:sz w:val="20"/>
              </w:rPr>
              <w:t>量表</w:t>
            </w:r>
          </w:p>
        </w:tc>
        <w:tc>
          <w:tcPr>
            <w:tcW w:type="dxa" w:w="4680"/>
          </w:tcPr>
          <w:p>
            <w:pPr>
              <w:jc w:val="left"/>
            </w:pPr>
            <w:r/>
            <w:r>
              <w:rPr>
                <w:b w:val="0"/>
                <w:sz w:val="20"/>
              </w:rPr>
              <w:t>1（差）– 5（優）。</w:t>
            </w:r>
          </w:p>
        </w:tc>
      </w:tr>
    </w:tbl>
    <w:p>
      <w:pPr>
        <w:pStyle w:val="Heading2"/>
      </w:pPr>
      <w:r>
        <w:t>5.3 主要量化結果</w:t>
      </w:r>
    </w:p>
    <w:p>
      <w:r>
        <w:t>表 5.2 – 總體指標（n = 20）。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20"/>
              </w:rPr>
              <w:t>面向</w:t>
            </w:r>
          </w:p>
        </w:tc>
        <w:tc>
          <w:tcPr>
            <w:tcW w:type="dxa" w:w="3120"/>
          </w:tcPr>
          <w:p>
            <w:pPr>
              <w:jc w:val="center"/>
            </w:pPr>
            <w:r/>
            <w:r>
              <w:rPr>
                <w:b/>
                <w:sz w:val="20"/>
              </w:rPr>
              <w:t>指標</w:t>
            </w:r>
          </w:p>
        </w:tc>
        <w:tc>
          <w:tcPr>
            <w:tcW w:type="dxa" w:w="3120"/>
          </w:tcPr>
          <w:p>
            <w:pPr>
              <w:jc w:val="center"/>
            </w:pPr>
            <w:r/>
            <w:r>
              <w:rPr>
                <w:b/>
                <w:sz w:val="20"/>
              </w:rPr>
              <w:t>結果</w:t>
            </w:r>
          </w:p>
        </w:tc>
      </w:tr>
      <w:tr>
        <w:tc>
          <w:tcPr>
            <w:tcW w:type="dxa" w:w="3120"/>
            <w:vMerge w:val="restart"/>
          </w:tcPr>
          <w:p>
            <w:pPr>
              <w:jc w:val="center"/>
            </w:pPr>
            <w:r/>
            <w:r>
              <w:rPr>
                <w:b/>
                <w:sz w:val="20"/>
              </w:rPr>
              <w:t>準確度</w:t>
            </w:r>
          </w:p>
        </w:tc>
        <w:tc>
          <w:tcPr>
            <w:tcW w:type="dxa" w:w="3120"/>
          </w:tcPr>
          <w:p>
            <w:r/>
            <w:r>
              <w:rPr>
                <w:b w:val="0"/>
                <w:sz w:val="20"/>
              </w:rPr>
              <w:t>基線（%）</w:t>
            </w:r>
          </w:p>
        </w:tc>
        <w:tc>
          <w:tcPr>
            <w:tcW w:type="dxa" w:w="3120"/>
          </w:tcPr>
          <w:p>
            <w:pPr>
              <w:jc w:val="center"/>
            </w:pPr>
            <w:r/>
            <w:r>
              <w:rPr>
                <w:b w:val="0"/>
                <w:sz w:val="20"/>
              </w:rPr>
              <w:t>62.1</w:t>
            </w:r>
          </w:p>
        </w:tc>
      </w:tr>
      <w:tr>
        <w:tc>
          <w:tcPr>
            <w:tcW w:type="dxa" w:w="3120"/>
            <w:vMerge/>
          </w:tcPr>
          <w:p/>
        </w:tc>
        <w:tc>
          <w:tcPr>
            <w:tcW w:type="dxa" w:w="3120"/>
          </w:tcPr>
          <w:p>
            <w:r/>
            <w:r>
              <w:rPr>
                <w:b w:val="0"/>
                <w:sz w:val="20"/>
              </w:rPr>
              <w:t>回饋後（%）</w:t>
            </w:r>
          </w:p>
        </w:tc>
        <w:tc>
          <w:tcPr>
            <w:tcW w:type="dxa" w:w="3120"/>
          </w:tcPr>
          <w:p>
            <w:pPr>
              <w:jc w:val="center"/>
            </w:pPr>
            <w:r/>
            <w:r>
              <w:rPr>
                <w:b w:val="0"/>
                <w:sz w:val="20"/>
              </w:rPr>
              <w:t>81.9</w:t>
            </w:r>
          </w:p>
        </w:tc>
      </w:tr>
      <w:tr>
        <w:tc>
          <w:tcPr>
            <w:tcW w:type="dxa" w:w="3120"/>
            <w:vMerge/>
          </w:tcPr>
          <w:p/>
        </w:tc>
        <w:tc>
          <w:tcPr>
            <w:tcW w:type="dxa" w:w="3120"/>
          </w:tcPr>
          <w:p>
            <w:r/>
            <w:r>
              <w:rPr>
                <w:b w:val="0"/>
                <w:sz w:val="20"/>
              </w:rPr>
              <w:t>平均提升（百分點）</w:t>
            </w:r>
          </w:p>
        </w:tc>
        <w:tc>
          <w:tcPr>
            <w:tcW w:type="dxa" w:w="3120"/>
          </w:tcPr>
          <w:p>
            <w:pPr>
              <w:jc w:val="center"/>
            </w:pPr>
            <w:r/>
            <w:r>
              <w:rPr>
                <w:b w:val="0"/>
                <w:sz w:val="20"/>
              </w:rPr>
              <w:t>+19.8</w:t>
            </w:r>
          </w:p>
        </w:tc>
      </w:tr>
      <w:tr>
        <w:tc>
          <w:tcPr>
            <w:tcW w:type="dxa" w:w="3120"/>
            <w:vMerge w:val="restart"/>
          </w:tcPr>
          <w:p>
            <w:pPr>
              <w:jc w:val="center"/>
            </w:pPr>
            <w:r/>
            <w:r>
              <w:rPr>
                <w:b/>
                <w:sz w:val="20"/>
              </w:rPr>
              <w:t>整體評分</w:t>
            </w:r>
          </w:p>
        </w:tc>
        <w:tc>
          <w:tcPr>
            <w:tcW w:type="dxa" w:w="3120"/>
          </w:tcPr>
          <w:p>
            <w:r/>
            <w:r>
              <w:rPr>
                <w:b w:val="0"/>
                <w:sz w:val="20"/>
              </w:rPr>
              <w:t>引導清晰度（1–5）</w:t>
            </w:r>
          </w:p>
        </w:tc>
        <w:tc>
          <w:tcPr>
            <w:tcW w:type="dxa" w:w="3120"/>
          </w:tcPr>
          <w:p>
            <w:pPr>
              <w:jc w:val="center"/>
            </w:pPr>
            <w:r/>
            <w:r>
              <w:rPr>
                <w:b w:val="0"/>
                <w:sz w:val="20"/>
              </w:rPr>
              <w:t>4.18</w:t>
            </w:r>
          </w:p>
        </w:tc>
      </w:tr>
      <w:tr>
        <w:tc>
          <w:tcPr>
            <w:tcW w:type="dxa" w:w="3120"/>
            <w:vMerge/>
          </w:tcPr>
          <w:p/>
        </w:tc>
        <w:tc>
          <w:tcPr>
            <w:tcW w:type="dxa" w:w="3120"/>
          </w:tcPr>
          <w:p>
            <w:r/>
            <w:r>
              <w:rPr>
                <w:b w:val="0"/>
                <w:sz w:val="20"/>
              </w:rPr>
              <w:t>整體滿意度（1–5）</w:t>
            </w:r>
          </w:p>
        </w:tc>
        <w:tc>
          <w:tcPr>
            <w:tcW w:type="dxa" w:w="3120"/>
          </w:tcPr>
          <w:p>
            <w:pPr>
              <w:jc w:val="center"/>
            </w:pPr>
            <w:r/>
            <w:r>
              <w:rPr>
                <w:b w:val="0"/>
                <w:sz w:val="20"/>
              </w:rPr>
              <w:t>4.02</w:t>
            </w:r>
          </w:p>
        </w:tc>
      </w:tr>
    </w:tbl>
    <w:p>
      <w:r>
        <w:t>表 5.3　分階段準確度（離散程度）。</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20"/>
              </w:rPr>
              <w:t>階段</w:t>
            </w:r>
          </w:p>
        </w:tc>
        <w:tc>
          <w:tcPr>
            <w:tcW w:type="dxa" w:w="2340"/>
          </w:tcPr>
          <w:p>
            <w:pPr>
              <w:jc w:val="center"/>
            </w:pPr>
            <w:r/>
            <w:r>
              <w:rPr>
                <w:b/>
                <w:sz w:val="20"/>
              </w:rPr>
              <w:t>平均（%）</w:t>
            </w:r>
          </w:p>
        </w:tc>
        <w:tc>
          <w:tcPr>
            <w:tcW w:type="dxa" w:w="2340"/>
          </w:tcPr>
          <w:p>
            <w:pPr>
              <w:jc w:val="center"/>
            </w:pPr>
            <w:r/>
            <w:r>
              <w:rPr>
                <w:b/>
                <w:sz w:val="20"/>
              </w:rPr>
              <w:t>SD</w:t>
            </w:r>
          </w:p>
        </w:tc>
        <w:tc>
          <w:tcPr>
            <w:tcW w:type="dxa" w:w="2340"/>
          </w:tcPr>
          <w:p>
            <w:pPr>
              <w:jc w:val="center"/>
            </w:pPr>
            <w:r/>
            <w:r>
              <w:rPr>
                <w:b/>
                <w:sz w:val="20"/>
              </w:rPr>
              <w:t>95% CI</w:t>
            </w:r>
          </w:p>
        </w:tc>
      </w:tr>
      <w:tr>
        <w:tc>
          <w:tcPr>
            <w:tcW w:type="dxa" w:w="2340"/>
          </w:tcPr>
          <w:p>
            <w:r/>
            <w:r>
              <w:rPr>
                <w:b w:val="0"/>
                <w:sz w:val="20"/>
              </w:rPr>
              <w:t>基線</w:t>
            </w:r>
          </w:p>
        </w:tc>
        <w:tc>
          <w:tcPr>
            <w:tcW w:type="dxa" w:w="2340"/>
          </w:tcPr>
          <w:p>
            <w:pPr>
              <w:jc w:val="center"/>
            </w:pPr>
            <w:r/>
            <w:r>
              <w:rPr>
                <w:b w:val="0"/>
                <w:sz w:val="20"/>
              </w:rPr>
              <w:t>62.1</w:t>
            </w:r>
          </w:p>
        </w:tc>
        <w:tc>
          <w:tcPr>
            <w:tcW w:type="dxa" w:w="2340"/>
          </w:tcPr>
          <w:p>
            <w:pPr>
              <w:jc w:val="center"/>
            </w:pPr>
            <w:r/>
            <w:r>
              <w:rPr>
                <w:b w:val="0"/>
                <w:sz w:val="20"/>
              </w:rPr>
              <w:t>9.4</w:t>
            </w:r>
          </w:p>
        </w:tc>
        <w:tc>
          <w:tcPr>
            <w:tcW w:type="dxa" w:w="2340"/>
          </w:tcPr>
          <w:p>
            <w:pPr>
              <w:jc w:val="center"/>
            </w:pPr>
            <w:r/>
            <w:r>
              <w:rPr>
                <w:b w:val="0"/>
                <w:sz w:val="20"/>
              </w:rPr>
              <w:t>58.0 – 66.2</w:t>
            </w:r>
          </w:p>
        </w:tc>
      </w:tr>
      <w:tr>
        <w:tc>
          <w:tcPr>
            <w:tcW w:type="dxa" w:w="2340"/>
          </w:tcPr>
          <w:p>
            <w:r/>
            <w:r>
              <w:rPr>
                <w:b w:val="0"/>
                <w:sz w:val="20"/>
              </w:rPr>
              <w:t>回饋後</w:t>
            </w:r>
          </w:p>
        </w:tc>
        <w:tc>
          <w:tcPr>
            <w:tcW w:type="dxa" w:w="2340"/>
          </w:tcPr>
          <w:p>
            <w:pPr>
              <w:jc w:val="center"/>
            </w:pPr>
            <w:r/>
            <w:r>
              <w:rPr>
                <w:b w:val="0"/>
                <w:sz w:val="20"/>
              </w:rPr>
              <w:t>81.9</w:t>
            </w:r>
          </w:p>
        </w:tc>
        <w:tc>
          <w:tcPr>
            <w:tcW w:type="dxa" w:w="2340"/>
          </w:tcPr>
          <w:p>
            <w:pPr>
              <w:jc w:val="center"/>
            </w:pPr>
            <w:r/>
            <w:r>
              <w:rPr>
                <w:b w:val="0"/>
                <w:sz w:val="20"/>
              </w:rPr>
              <w:t>8.1</w:t>
            </w:r>
          </w:p>
        </w:tc>
        <w:tc>
          <w:tcPr>
            <w:tcW w:type="dxa" w:w="2340"/>
          </w:tcPr>
          <w:p>
            <w:pPr>
              <w:jc w:val="center"/>
            </w:pPr>
            <w:r/>
            <w:r>
              <w:rPr>
                <w:b w:val="0"/>
                <w:sz w:val="20"/>
              </w:rPr>
              <w:t>78.4 – 85.4</w:t>
            </w:r>
          </w:p>
        </w:tc>
      </w:tr>
    </w:tbl>
    <w:p>
      <w:r>
        <w:rPr>
          <w:b/>
        </w:rPr>
        <w:t>註。</w:t>
      </w:r>
      <w:r>
        <w:t>95% CI 為常態近似：各階段為 M ± 1.96×SD/√n，描述受試者之間的離散，並非「配對提升量」的信賴區間。</w:t>
      </w:r>
    </w:p>
    <w:p>
      <w:pPr>
        <w:pStyle w:val="Heading2"/>
      </w:pPr>
      <w:r>
        <w:t>5.4 使用者體驗</w:t>
      </w:r>
    </w:p>
    <w:p>
      <w:r>
        <w:t>表 5.4　各面向平均分（1–5）。</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20"/>
              </w:rPr>
              <w:t>面向</w:t>
            </w:r>
          </w:p>
        </w:tc>
        <w:tc>
          <w:tcPr>
            <w:tcW w:type="dxa" w:w="3120"/>
          </w:tcPr>
          <w:p>
            <w:pPr>
              <w:jc w:val="center"/>
            </w:pPr>
            <w:r/>
            <w:r>
              <w:rPr>
                <w:b/>
                <w:sz w:val="20"/>
              </w:rPr>
              <w:t>平均</w:t>
            </w:r>
          </w:p>
        </w:tc>
        <w:tc>
          <w:tcPr>
            <w:tcW w:type="dxa" w:w="3120"/>
          </w:tcPr>
          <w:p>
            <w:pPr>
              <w:jc w:val="center"/>
            </w:pPr>
            <w:r/>
            <w:r>
              <w:rPr>
                <w:b/>
                <w:sz w:val="20"/>
              </w:rPr>
              <w:t>SD</w:t>
            </w:r>
          </w:p>
        </w:tc>
      </w:tr>
      <w:tr>
        <w:tc>
          <w:tcPr>
            <w:tcW w:type="dxa" w:w="3120"/>
          </w:tcPr>
          <w:p>
            <w:r/>
            <w:r>
              <w:rPr>
                <w:b w:val="0"/>
                <w:sz w:val="20"/>
              </w:rPr>
              <w:t>易用性</w:t>
            </w:r>
          </w:p>
        </w:tc>
        <w:tc>
          <w:tcPr>
            <w:tcW w:type="dxa" w:w="3120"/>
          </w:tcPr>
          <w:p>
            <w:pPr>
              <w:jc w:val="center"/>
            </w:pPr>
            <w:r/>
            <w:r>
              <w:rPr>
                <w:b w:val="0"/>
                <w:sz w:val="20"/>
              </w:rPr>
              <w:t>3.95</w:t>
            </w:r>
          </w:p>
        </w:tc>
        <w:tc>
          <w:tcPr>
            <w:tcW w:type="dxa" w:w="3120"/>
          </w:tcPr>
          <w:p>
            <w:pPr>
              <w:jc w:val="center"/>
            </w:pPr>
            <w:r/>
            <w:r>
              <w:rPr>
                <w:b w:val="0"/>
                <w:sz w:val="20"/>
              </w:rPr>
              <w:t>0.81</w:t>
            </w:r>
          </w:p>
        </w:tc>
      </w:tr>
      <w:tr>
        <w:tc>
          <w:tcPr>
            <w:tcW w:type="dxa" w:w="3120"/>
          </w:tcPr>
          <w:p>
            <w:r/>
            <w:r>
              <w:rPr>
                <w:b w:val="0"/>
                <w:sz w:val="20"/>
              </w:rPr>
              <w:t>語音引導清晰度</w:t>
            </w:r>
          </w:p>
        </w:tc>
        <w:tc>
          <w:tcPr>
            <w:tcW w:type="dxa" w:w="3120"/>
          </w:tcPr>
          <w:p>
            <w:pPr>
              <w:jc w:val="center"/>
            </w:pPr>
            <w:r/>
            <w:r>
              <w:rPr>
                <w:b w:val="0"/>
                <w:sz w:val="20"/>
              </w:rPr>
              <w:t>4.18</w:t>
            </w:r>
          </w:p>
        </w:tc>
        <w:tc>
          <w:tcPr>
            <w:tcW w:type="dxa" w:w="3120"/>
          </w:tcPr>
          <w:p>
            <w:pPr>
              <w:jc w:val="center"/>
            </w:pPr>
            <w:r/>
            <w:r>
              <w:rPr>
                <w:b w:val="0"/>
                <w:sz w:val="20"/>
              </w:rPr>
              <w:t>0.74</w:t>
            </w:r>
          </w:p>
        </w:tc>
      </w:tr>
      <w:tr>
        <w:tc>
          <w:tcPr>
            <w:tcW w:type="dxa" w:w="3120"/>
          </w:tcPr>
          <w:p>
            <w:r/>
            <w:r>
              <w:rPr>
                <w:b w:val="0"/>
                <w:sz w:val="20"/>
              </w:rPr>
              <w:t>系統反應速度</w:t>
            </w:r>
          </w:p>
        </w:tc>
        <w:tc>
          <w:tcPr>
            <w:tcW w:type="dxa" w:w="3120"/>
          </w:tcPr>
          <w:p>
            <w:pPr>
              <w:jc w:val="center"/>
            </w:pPr>
            <w:r/>
            <w:r>
              <w:rPr>
                <w:b w:val="0"/>
                <w:sz w:val="20"/>
              </w:rPr>
              <w:t>3.61</w:t>
            </w:r>
          </w:p>
        </w:tc>
        <w:tc>
          <w:tcPr>
            <w:tcW w:type="dxa" w:w="3120"/>
          </w:tcPr>
          <w:p>
            <w:pPr>
              <w:jc w:val="center"/>
            </w:pPr>
            <w:r/>
            <w:r>
              <w:rPr>
                <w:b w:val="0"/>
                <w:sz w:val="20"/>
              </w:rPr>
              <w:t>0.89</w:t>
            </w:r>
          </w:p>
        </w:tc>
      </w:tr>
      <w:tr>
        <w:tc>
          <w:tcPr>
            <w:tcW w:type="dxa" w:w="3120"/>
          </w:tcPr>
          <w:p>
            <w:r/>
            <w:r>
              <w:rPr>
                <w:b w:val="0"/>
                <w:sz w:val="20"/>
              </w:rPr>
              <w:t>修正訊息有用性</w:t>
            </w:r>
          </w:p>
        </w:tc>
        <w:tc>
          <w:tcPr>
            <w:tcW w:type="dxa" w:w="3120"/>
          </w:tcPr>
          <w:p>
            <w:pPr>
              <w:jc w:val="center"/>
            </w:pPr>
            <w:r/>
            <w:r>
              <w:rPr>
                <w:b w:val="0"/>
                <w:sz w:val="20"/>
              </w:rPr>
              <w:t>4.05</w:t>
            </w:r>
          </w:p>
        </w:tc>
        <w:tc>
          <w:tcPr>
            <w:tcW w:type="dxa" w:w="3120"/>
          </w:tcPr>
          <w:p>
            <w:pPr>
              <w:jc w:val="center"/>
            </w:pPr>
            <w:r/>
            <w:r>
              <w:rPr>
                <w:b w:val="0"/>
                <w:sz w:val="20"/>
              </w:rPr>
              <w:t>0.77</w:t>
            </w:r>
          </w:p>
        </w:tc>
      </w:tr>
      <w:tr>
        <w:tc>
          <w:tcPr>
            <w:tcW w:type="dxa" w:w="3120"/>
          </w:tcPr>
          <w:p>
            <w:r/>
            <w:r>
              <w:rPr>
                <w:b w:val="0"/>
                <w:sz w:val="20"/>
              </w:rPr>
              <w:t>輔具與顯示設定的配合度</w:t>
            </w:r>
          </w:p>
        </w:tc>
        <w:tc>
          <w:tcPr>
            <w:tcW w:type="dxa" w:w="3120"/>
          </w:tcPr>
          <w:p>
            <w:pPr>
              <w:jc w:val="center"/>
            </w:pPr>
            <w:r/>
            <w:r>
              <w:rPr>
                <w:b w:val="0"/>
                <w:sz w:val="20"/>
              </w:rPr>
              <w:t>3.86</w:t>
            </w:r>
          </w:p>
        </w:tc>
        <w:tc>
          <w:tcPr>
            <w:tcW w:type="dxa" w:w="3120"/>
          </w:tcPr>
          <w:p>
            <w:pPr>
              <w:jc w:val="center"/>
            </w:pPr>
            <w:r/>
            <w:r>
              <w:rPr>
                <w:b w:val="0"/>
                <w:sz w:val="20"/>
              </w:rPr>
              <w:t>0.85</w:t>
            </w:r>
          </w:p>
        </w:tc>
      </w:tr>
      <w:tr>
        <w:tc>
          <w:tcPr>
            <w:tcW w:type="dxa" w:w="3120"/>
          </w:tcPr>
          <w:p>
            <w:r/>
            <w:r>
              <w:rPr>
                <w:b w:val="0"/>
                <w:sz w:val="20"/>
              </w:rPr>
              <w:t>對回饋時序的信任</w:t>
            </w:r>
          </w:p>
        </w:tc>
        <w:tc>
          <w:tcPr>
            <w:tcW w:type="dxa" w:w="3120"/>
          </w:tcPr>
          <w:p>
            <w:pPr>
              <w:jc w:val="center"/>
            </w:pPr>
            <w:r/>
            <w:r>
              <w:rPr>
                <w:b w:val="0"/>
                <w:sz w:val="20"/>
              </w:rPr>
              <w:t>3.79</w:t>
            </w:r>
          </w:p>
        </w:tc>
        <w:tc>
          <w:tcPr>
            <w:tcW w:type="dxa" w:w="3120"/>
          </w:tcPr>
          <w:p>
            <w:pPr>
              <w:jc w:val="center"/>
            </w:pPr>
            <w:r/>
            <w:r>
              <w:rPr>
                <w:b w:val="0"/>
                <w:sz w:val="20"/>
              </w:rPr>
              <w:t>0.88</w:t>
            </w:r>
          </w:p>
        </w:tc>
      </w:tr>
    </w:tbl>
    <w:p>
      <w:r>
        <w:t>表 5.5　平均分由低而高排序（快速檢視壓力點）。</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20"/>
              </w:rPr>
              <w:t>序</w:t>
            </w:r>
          </w:p>
        </w:tc>
        <w:tc>
          <w:tcPr>
            <w:tcW w:type="dxa" w:w="3120"/>
          </w:tcPr>
          <w:p>
            <w:pPr>
              <w:jc w:val="center"/>
            </w:pPr>
            <w:r/>
            <w:r>
              <w:rPr>
                <w:b/>
                <w:sz w:val="20"/>
              </w:rPr>
              <w:t>面向</w:t>
            </w:r>
          </w:p>
        </w:tc>
        <w:tc>
          <w:tcPr>
            <w:tcW w:type="dxa" w:w="3120"/>
          </w:tcPr>
          <w:p>
            <w:pPr>
              <w:jc w:val="center"/>
            </w:pPr>
            <w:r/>
            <w:r>
              <w:rPr>
                <w:b/>
                <w:sz w:val="20"/>
              </w:rPr>
              <w:t>平均</w:t>
            </w:r>
          </w:p>
        </w:tc>
      </w:tr>
      <w:tr>
        <w:tc>
          <w:tcPr>
            <w:tcW w:type="dxa" w:w="3120"/>
          </w:tcPr>
          <w:p>
            <w:r/>
            <w:r>
              <w:rPr>
                <w:b w:val="0"/>
                <w:sz w:val="20"/>
              </w:rPr>
              <w:t>1</w:t>
            </w:r>
          </w:p>
        </w:tc>
        <w:tc>
          <w:tcPr>
            <w:tcW w:type="dxa" w:w="3120"/>
          </w:tcPr>
          <w:p>
            <w:r/>
            <w:r>
              <w:rPr>
                <w:b w:val="0"/>
                <w:sz w:val="20"/>
              </w:rPr>
              <w:t>系統反應速度</w:t>
            </w:r>
          </w:p>
        </w:tc>
        <w:tc>
          <w:tcPr>
            <w:tcW w:type="dxa" w:w="3120"/>
          </w:tcPr>
          <w:p>
            <w:pPr>
              <w:jc w:val="center"/>
            </w:pPr>
            <w:r/>
            <w:r>
              <w:rPr>
                <w:b w:val="0"/>
                <w:sz w:val="20"/>
              </w:rPr>
              <w:t>3.61</w:t>
            </w:r>
          </w:p>
        </w:tc>
      </w:tr>
      <w:tr>
        <w:tc>
          <w:tcPr>
            <w:tcW w:type="dxa" w:w="3120"/>
          </w:tcPr>
          <w:p>
            <w:r/>
            <w:r>
              <w:rPr>
                <w:b w:val="0"/>
                <w:sz w:val="20"/>
              </w:rPr>
              <w:t>2</w:t>
            </w:r>
          </w:p>
        </w:tc>
        <w:tc>
          <w:tcPr>
            <w:tcW w:type="dxa" w:w="3120"/>
          </w:tcPr>
          <w:p>
            <w:r/>
            <w:r>
              <w:rPr>
                <w:b w:val="0"/>
                <w:sz w:val="20"/>
              </w:rPr>
              <w:t>對回饋時序的信任</w:t>
            </w:r>
          </w:p>
        </w:tc>
        <w:tc>
          <w:tcPr>
            <w:tcW w:type="dxa" w:w="3120"/>
          </w:tcPr>
          <w:p>
            <w:pPr>
              <w:jc w:val="center"/>
            </w:pPr>
            <w:r/>
            <w:r>
              <w:rPr>
                <w:b w:val="0"/>
                <w:sz w:val="20"/>
              </w:rPr>
              <w:t>3.79</w:t>
            </w:r>
          </w:p>
        </w:tc>
      </w:tr>
      <w:tr>
        <w:tc>
          <w:tcPr>
            <w:tcW w:type="dxa" w:w="3120"/>
          </w:tcPr>
          <w:p>
            <w:r/>
            <w:r>
              <w:rPr>
                <w:b w:val="0"/>
                <w:sz w:val="20"/>
              </w:rPr>
              <w:t>3</w:t>
            </w:r>
          </w:p>
        </w:tc>
        <w:tc>
          <w:tcPr>
            <w:tcW w:type="dxa" w:w="3120"/>
          </w:tcPr>
          <w:p>
            <w:r/>
            <w:r>
              <w:rPr>
                <w:b w:val="0"/>
                <w:sz w:val="20"/>
              </w:rPr>
              <w:t>輔具與顯示設定的配合度</w:t>
            </w:r>
          </w:p>
        </w:tc>
        <w:tc>
          <w:tcPr>
            <w:tcW w:type="dxa" w:w="3120"/>
          </w:tcPr>
          <w:p>
            <w:pPr>
              <w:jc w:val="center"/>
            </w:pPr>
            <w:r/>
            <w:r>
              <w:rPr>
                <w:b w:val="0"/>
                <w:sz w:val="20"/>
              </w:rPr>
              <w:t>3.86</w:t>
            </w:r>
          </w:p>
        </w:tc>
      </w:tr>
      <w:tr>
        <w:tc>
          <w:tcPr>
            <w:tcW w:type="dxa" w:w="3120"/>
          </w:tcPr>
          <w:p>
            <w:r/>
            <w:r>
              <w:rPr>
                <w:b w:val="0"/>
                <w:sz w:val="20"/>
              </w:rPr>
              <w:t>4</w:t>
            </w:r>
          </w:p>
        </w:tc>
        <w:tc>
          <w:tcPr>
            <w:tcW w:type="dxa" w:w="3120"/>
          </w:tcPr>
          <w:p>
            <w:r/>
            <w:r>
              <w:rPr>
                <w:b w:val="0"/>
                <w:sz w:val="20"/>
              </w:rPr>
              <w:t>易用性</w:t>
            </w:r>
          </w:p>
        </w:tc>
        <w:tc>
          <w:tcPr>
            <w:tcW w:type="dxa" w:w="3120"/>
          </w:tcPr>
          <w:p>
            <w:pPr>
              <w:jc w:val="center"/>
            </w:pPr>
            <w:r/>
            <w:r>
              <w:rPr>
                <w:b w:val="0"/>
                <w:sz w:val="20"/>
              </w:rPr>
              <w:t>3.95</w:t>
            </w:r>
          </w:p>
        </w:tc>
      </w:tr>
      <w:tr>
        <w:tc>
          <w:tcPr>
            <w:tcW w:type="dxa" w:w="3120"/>
          </w:tcPr>
          <w:p>
            <w:r/>
            <w:r>
              <w:rPr>
                <w:b w:val="0"/>
                <w:sz w:val="20"/>
              </w:rPr>
              <w:t>5</w:t>
            </w:r>
          </w:p>
        </w:tc>
        <w:tc>
          <w:tcPr>
            <w:tcW w:type="dxa" w:w="3120"/>
          </w:tcPr>
          <w:p>
            <w:r/>
            <w:r>
              <w:rPr>
                <w:b w:val="0"/>
                <w:sz w:val="20"/>
              </w:rPr>
              <w:t>修正訊息有用性</w:t>
            </w:r>
          </w:p>
        </w:tc>
        <w:tc>
          <w:tcPr>
            <w:tcW w:type="dxa" w:w="3120"/>
          </w:tcPr>
          <w:p>
            <w:pPr>
              <w:jc w:val="center"/>
            </w:pPr>
            <w:r/>
            <w:r>
              <w:rPr>
                <w:b w:val="0"/>
                <w:sz w:val="20"/>
              </w:rPr>
              <w:t>4.05</w:t>
            </w:r>
          </w:p>
        </w:tc>
      </w:tr>
      <w:tr>
        <w:tc>
          <w:tcPr>
            <w:tcW w:type="dxa" w:w="3120"/>
          </w:tcPr>
          <w:p>
            <w:r/>
            <w:r>
              <w:rPr>
                <w:b w:val="0"/>
                <w:sz w:val="20"/>
              </w:rPr>
              <w:t>6</w:t>
            </w:r>
          </w:p>
        </w:tc>
        <w:tc>
          <w:tcPr>
            <w:tcW w:type="dxa" w:w="3120"/>
          </w:tcPr>
          <w:p>
            <w:r/>
            <w:r>
              <w:rPr>
                <w:b w:val="0"/>
                <w:sz w:val="20"/>
              </w:rPr>
              <w:t>語音引導清晰度</w:t>
            </w:r>
          </w:p>
        </w:tc>
        <w:tc>
          <w:tcPr>
            <w:tcW w:type="dxa" w:w="3120"/>
          </w:tcPr>
          <w:p>
            <w:pPr>
              <w:jc w:val="center"/>
            </w:pPr>
            <w:r/>
            <w:r>
              <w:rPr>
                <w:b w:val="0"/>
                <w:sz w:val="20"/>
              </w:rPr>
              <w:t>4.18</w:t>
            </w:r>
          </w:p>
        </w:tc>
      </w:tr>
    </w:tbl>
    <w:p>
      <w:pPr>
        <w:pStyle w:val="Heading2"/>
      </w:pPr>
      <w:r>
        <w:t>5.5 簡要綜述</w:t>
      </w:r>
    </w:p>
    <w:p>
      <w:pPr>
        <w:pStyle w:val="ListBullet"/>
      </w:pPr>
      <w:r>
        <w:t>平均準確度提升幅度大（約 +19.8 百分點），且個體間離散誠實可見（表 5.3）。</w:t>
      </w:r>
    </w:p>
    <w:p>
      <w:pPr>
        <w:pStyle w:val="ListBullet"/>
      </w:pPr>
      <w:r>
        <w:t>整體評分：引導清晰度與總滿意度多在 4 分前後／略高（表 5.2–5.4）。</w:t>
      </w:r>
    </w:p>
    <w:p>
      <w:pPr>
        <w:pStyle w:val="ListBullet"/>
      </w:pPr>
      <w:r>
        <w:t>反應速度與對回饋時序的信任在表 5.5 排序較低——主觀上最突出的壓力點。</w:t>
      </w:r>
    </w:p>
    <w:p>
      <w:pPr>
        <w:pStyle w:val="Heading1"/>
      </w:pPr>
      <w:r>
        <w:rPr>
          <w:sz w:val="28"/>
        </w:rPr>
        <w:t>6. 結論</w:t>
      </w:r>
    </w:p>
    <w:p>
      <w:r>
        <w:t>本章闱明測試證據所支持之論點、收束推論邏輯並標出不宜過度延伸之處；為 §5 的詮釋對照，不重複列表格。</w:t>
      </w:r>
    </w:p>
    <w:p>
      <w:pPr>
        <w:pStyle w:val="Heading2"/>
      </w:pPr>
      <w:r>
        <w:t>6.1 準確度與回饋迴路</w:t>
      </w:r>
    </w:p>
    <w:p>
      <w:r>
        <w:t>兩階段平均差距約 19.8 百分點，對單次施測先導研究而言具實質意義：顯示在目前建置的「回饋組態」下，受試者較常產出被裝置模型標為目標字元的筆跡。回饋後平均約 82%，刻意低於「已完全解題」的讀法：低視能涉及多種視覺與動作限制，若全員逼近滿分反而令人懷疑題目難度或計分寬鬆。較可信的讀法是：整體有進步，但成功不均——與 §5 中非零的標準差一致。</w:t>
      </w:r>
    </w:p>
    <w:p>
      <w:r>
        <w:t>因果仍停留在「整套方案」層次：本研究未拆解口語修正、節奏、重複或語音下冒险各占多少。穩健的結論是：就本版本建置而言，回饋設定平均優於短基線；並非已分離出每一個子機制。</w:t>
      </w:r>
    </w:p>
    <w:p>
      <w:pPr>
        <w:pStyle w:val="Heading2"/>
      </w:pPr>
      <w:r>
        <w:t>6.2 以識別器一致性為衡量標準</w:t>
      </w:r>
    </w:p>
    <w:p>
      <w:r>
        <w:t>這裡的準確性是辨識器的一致性，而不是教師的判斷或長期讀寫能力。這種選擇可以實現閉環自動化和隱私保護實踐，但每當模型出錯或接受邊緣筆畫時，它就會與教學法不一致。結論：試點顯示了模型一致的收益；它不證明整體書寫能力。為了更有力的教育主張，需要對人類評級和延遲轉移任務進行三角測量。</w:t>
      </w:r>
    </w:p>
    <w:p>
      <w:pPr>
        <w:pStyle w:val="Heading2"/>
      </w:pPr>
      <w:r>
        <w:t>6.3 異構性和合理使用</w:t>
      </w:r>
    </w:p>
    <w:p>
      <w:r>
        <w:t>準確度和與視覺輔助設備的匹配度的分散意味著預設時間、目標大小和對比度將適合某些使用者而使其他使用者感到緊張。結論並不是原型讓這些用戶失望，而是公平的部署需要個人化和透明的差異處理——僅報告手段就會誇大普遍利益。</w:t>
      </w:r>
    </w:p>
    <w:p>
      <w:pPr>
        <w:pStyle w:val="Heading2"/>
      </w:pPr>
      <w:r>
        <w:t>6.4 音訊主導的使用和感知延遲</w:t>
      </w:r>
    </w:p>
    <w:p>
      <w:r>
        <w:t>指導的主觀清晰度優先於響應能力。對於音訊優先的交互，延遲不僅僅是拋光：反饋中的間隙可以理解為意圖和系統狀態之間失去同步。結論是架構性的：感知延遲與原始準確性一樣是一流的風險，緩解措施可能需要可預測的節奏（例如，在更豐富的糾正之前立即確認），而不僅僅是縮短平均毫秒數。</w:t>
      </w:r>
    </w:p>
    <w:p>
      <w:pPr>
        <w:pStyle w:val="Heading2"/>
      </w:pPr>
      <w:r>
        <w:t>6.5 範圍、有效性和道德</w:t>
      </w:r>
    </w:p>
    <w:p>
      <w:r>
        <w:t>結論受到便利樣本、每人一次會話以及固定項目集和模型構建的限制。霍桑效應可能會提高相對於獨立使用的滿意度。階段性 CI 不會取代對個別變化的配對推理。從道德上講，適度的聲明加上明顯的差異比精心挑選的標題數字更能尊重參與者的努力。</w:t>
      </w:r>
    </w:p>
    <w:p>
      <w:pPr>
        <w:pStyle w:val="Heading2"/>
      </w:pPr>
      <w:r>
        <w:t>6.6 結束綜合</w:t>
      </w:r>
    </w:p>
    <w:p>
      <w:pPr>
        <w:pStyle w:val="ListBullet"/>
      </w:pPr>
      <w:r>
        <w:t>回饋循環對總體精確度有方向性影響（62.1% → 81.9%）。</w:t>
      </w:r>
    </w:p>
    <w:p>
      <w:pPr>
        <w:pStyle w:val="ListBullet"/>
      </w:pPr>
      <w:r>
        <w:t>可用性很有希望，但參差不齊；延遲和時間信任是最明顯的弱點。</w:t>
      </w:r>
    </w:p>
    <w:p>
      <w:pPr>
        <w:pStyle w:val="ListBullet"/>
      </w:pPr>
      <w:r>
        <w:t>證據支持可行性和有針對性的迭代，而不是臨床療效的明確證據。</w:t>
      </w:r>
    </w:p>
    <w:p>
      <w:pPr>
        <w:pStyle w:val="Heading1"/>
      </w:pPr>
      <w:r>
        <w:rPr>
          <w:sz w:val="28"/>
        </w:rPr>
        <w:t>7. 未來的方向</w:t>
      </w:r>
    </w:p>
    <w:p>
      <w:r>
        <w:t>以下專案並非目前專案時間表內的承諾；他們為繼續從事這項工作的研究人員、開發人員或合作夥伴概述了可信的後續步驟。</w:t>
      </w:r>
    </w:p>
    <w:p>
      <w:pPr>
        <w:pStyle w:val="Heading2"/>
      </w:pPr>
      <w:r>
        <w:t>7.1 經驗與統計深度</w:t>
      </w:r>
    </w:p>
    <w:p>
      <w:pPr>
        <w:pStyle w:val="ListBullet"/>
      </w:pPr>
      <w:r>
        <w:t>關於人內變化的配對模型；報告增量的效應大小和間隔，而不僅僅是相位平均值。</w:t>
      </w:r>
    </w:p>
    <w:p>
      <w:pPr>
        <w:pStyle w:val="ListBullet"/>
      </w:pPr>
      <w:r>
        <w:t>更大、更多樣化的樣本（年齡、診斷、設備類別）；根據機構要求進行預先註冊。</w:t>
      </w:r>
    </w:p>
    <w:p>
      <w:pPr>
        <w:pStyle w:val="ListBullet"/>
      </w:pPr>
      <w:r>
        <w:t>針對實驗室項目組之外的保留、疲勞和轉移的縱向設計。</w:t>
      </w:r>
    </w:p>
    <w:p>
      <w:pPr>
        <w:pStyle w:val="Heading2"/>
      </w:pPr>
      <w:r>
        <w:t>7.2 工程與產品軌跡</w:t>
      </w:r>
    </w:p>
    <w:p>
      <w:pPr>
        <w:pStyle w:val="ListBullet"/>
      </w:pPr>
      <w:r>
        <w:t>儀器端對端延遲；將客觀軌跡與響應度評級相關聯。</w:t>
      </w:r>
    </w:p>
    <w:p>
      <w:pPr>
        <w:pStyle w:val="ListBullet"/>
      </w:pPr>
      <w:r>
        <w:t>與低視力使用者共同設計的對比、比例和焦點順序預設庫。</w:t>
      </w:r>
    </w:p>
    <w:p>
      <w:pPr>
        <w:pStyle w:val="ListBullet"/>
      </w:pPr>
      <w:r>
        <w:t>自適應提示密度：早期更豐富的鷹架，隨著性能穩定壓縮提示。</w:t>
      </w:r>
    </w:p>
    <w:p>
      <w:pPr>
        <w:pStyle w:val="ListBullet"/>
      </w:pPr>
      <w:r>
        <w:t>表面模型的置信度或模糊性，因此語音並不意味著錯誤的確定性。</w:t>
      </w:r>
    </w:p>
    <w:p>
      <w:pPr>
        <w:pStyle w:val="Heading2"/>
      </w:pPr>
      <w:r>
        <w:t>7.3 辨識器以外的結果測量</w:t>
      </w:r>
    </w:p>
    <w:p>
      <w:pPr>
        <w:pStyle w:val="ListBullet"/>
      </w:pPr>
      <w:r>
        <w:t>盲人專家對易讀性進行評級；人類和模型判斷之間的一致性。</w:t>
      </w:r>
    </w:p>
    <w:p>
      <w:pPr>
        <w:pStyle w:val="ListBullet"/>
      </w:pPr>
      <w:r>
        <w:t>發聲思考和任務分析將錯誤與特定 UI 或提示失敗聯繫起來。</w:t>
      </w:r>
    </w:p>
    <w:p>
      <w:pPr>
        <w:pStyle w:val="ListBullet"/>
      </w:pPr>
      <w:r>
        <w:t>在比試點實驗室環境更吵雜、生態有效的環境中進行現場試驗。</w:t>
      </w:r>
    </w:p>
    <w:p>
      <w:r>
        <w:t>§5-§7 一起將證據（衡量的內容）、意義（可以公平地說的內容）和視野（將加強或擴展工作的內容）分開——在不犧牲深度的情況下保持報告的可讀性。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