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1458" w:rsidRPr="00C8503D" w:rsidRDefault="00382B3D">
      <w:pPr>
        <w:rPr>
          <w:lang w:val="fr-FR"/>
        </w:rPr>
      </w:pPr>
      <w:r w:rsidRPr="00C8503D">
        <w:rPr>
          <w:b/>
          <w:sz w:val="36"/>
          <w:lang w:val="fr-FR"/>
        </w:rPr>
        <w:t>Documentation fonctionnelle</w:t>
      </w:r>
    </w:p>
    <w:p w:rsidR="00951458" w:rsidRPr="00C8503D" w:rsidRDefault="00382B3D">
      <w:pPr>
        <w:rPr>
          <w:lang w:val="fr-FR"/>
        </w:rPr>
      </w:pPr>
      <w:r w:rsidRPr="00C8503D">
        <w:rPr>
          <w:b/>
          <w:sz w:val="24"/>
          <w:lang w:val="fr-FR"/>
        </w:rPr>
        <w:t>Tableau de bord Power BI — GreenTech — Enedis</w:t>
      </w:r>
    </w:p>
    <w:p w:rsidR="00951458" w:rsidRPr="00C8503D" w:rsidRDefault="00382B3D">
      <w:pPr>
        <w:rPr>
          <w:lang w:val="fr-FR"/>
        </w:rPr>
      </w:pPr>
      <w:r w:rsidRPr="00C8503D">
        <w:rPr>
          <w:i/>
          <w:sz w:val="18"/>
          <w:lang w:val="fr-FR"/>
        </w:rPr>
        <w:t>Version : 1.4 | Date : 01/2026</w:t>
      </w:r>
    </w:p>
    <w:p w:rsidR="00951458" w:rsidRPr="00C8503D" w:rsidRDefault="00382B3D">
      <w:pPr>
        <w:pStyle w:val="1"/>
        <w:rPr>
          <w:lang w:val="fr-FR"/>
        </w:rPr>
      </w:pPr>
      <w:r w:rsidRPr="00C8503D">
        <w:rPr>
          <w:lang w:val="fr-FR"/>
        </w:rPr>
        <w:t>1. Objectif</w:t>
      </w:r>
    </w:p>
    <w:p w:rsidR="00951458" w:rsidRPr="00C8503D" w:rsidRDefault="00382B3D">
      <w:pPr>
        <w:rPr>
          <w:lang w:val="fr-FR"/>
        </w:rPr>
      </w:pPr>
      <w:r w:rsidRPr="00C8503D">
        <w:rPr>
          <w:lang w:val="fr-FR"/>
        </w:rPr>
        <w:t>Synthèse et analyse des DPE : consommation (kWh/m²), coûts (€), répartitions et comparaison territoriale.</w:t>
      </w:r>
    </w:p>
    <w:p w:rsidR="00951458" w:rsidRDefault="00382B3D">
      <w:pPr>
        <w:pStyle w:val="1"/>
      </w:pPr>
      <w:r>
        <w:t>2. Utilisation</w:t>
      </w:r>
    </w:p>
    <w:p w:rsidR="00951458" w:rsidRPr="00C8503D" w:rsidRDefault="00382B3D">
      <w:pPr>
        <w:pStyle w:val="a0"/>
        <w:rPr>
          <w:lang w:val="fr-FR"/>
        </w:rPr>
      </w:pPr>
      <w:r w:rsidRPr="00C8503D">
        <w:rPr>
          <w:lang w:val="fr-FR"/>
        </w:rPr>
        <w:t>Navigation via le</w:t>
      </w:r>
      <w:r w:rsidRPr="00C8503D">
        <w:rPr>
          <w:lang w:val="fr-FR"/>
        </w:rPr>
        <w:t xml:space="preserve"> menu latéral (4 pages).</w:t>
      </w:r>
    </w:p>
    <w:p w:rsidR="00951458" w:rsidRPr="00C8503D" w:rsidRDefault="00382B3D">
      <w:pPr>
        <w:pStyle w:val="a0"/>
        <w:rPr>
          <w:lang w:val="fr-FR"/>
        </w:rPr>
      </w:pPr>
      <w:r w:rsidRPr="00C8503D">
        <w:rPr>
          <w:lang w:val="fr-FR"/>
        </w:rPr>
        <w:t>Filtres globaux à gauche : ils s’appliquent à l’ensemble du rapport.</w:t>
      </w:r>
    </w:p>
    <w:p w:rsidR="00951458" w:rsidRPr="00C8503D" w:rsidRDefault="00382B3D">
      <w:pPr>
        <w:pStyle w:val="a0"/>
        <w:rPr>
          <w:lang w:val="fr-FR"/>
        </w:rPr>
      </w:pPr>
      <w:r w:rsidRPr="00C8503D">
        <w:rPr>
          <w:lang w:val="fr-FR"/>
        </w:rPr>
        <w:t>Interaction standard : cliquer sur un élément filtre les autres visuels de la page.</w:t>
      </w:r>
    </w:p>
    <w:p w:rsidR="00951458" w:rsidRDefault="00382B3D">
      <w:pPr>
        <w:pStyle w:val="1"/>
      </w:pPr>
      <w:r>
        <w:t>3. Filtres globaux</w:t>
      </w:r>
    </w:p>
    <w:p w:rsidR="00951458" w:rsidRDefault="00382B3D">
      <w:pPr>
        <w:pStyle w:val="a0"/>
      </w:pPr>
      <w:r>
        <w:t>Année (plage 2021–2025).</w:t>
      </w:r>
    </w:p>
    <w:p w:rsidR="00951458" w:rsidRDefault="00382B3D">
      <w:pPr>
        <w:pStyle w:val="a0"/>
      </w:pPr>
      <w:r>
        <w:t>Région.</w:t>
      </w:r>
    </w:p>
    <w:p w:rsidR="00951458" w:rsidRDefault="00382B3D">
      <w:pPr>
        <w:pStyle w:val="a0"/>
      </w:pPr>
      <w:r>
        <w:t>Type de bâtiment.</w:t>
      </w:r>
    </w:p>
    <w:p w:rsidR="00951458" w:rsidRDefault="00382B3D">
      <w:pPr>
        <w:pStyle w:val="1"/>
      </w:pPr>
      <w:r>
        <w:t>4. Pages</w:t>
      </w:r>
      <w:r>
        <w:t xml:space="preserve"> et contenu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268"/>
        <w:gridCol w:w="2268"/>
        <w:gridCol w:w="4819"/>
      </w:tblGrid>
      <w:tr w:rsidR="00951458">
        <w:trPr>
          <w:jc w:val="center"/>
        </w:trPr>
        <w:tc>
          <w:tcPr>
            <w:tcW w:w="2268" w:type="dxa"/>
            <w:shd w:val="clear" w:color="auto" w:fill="E7E6E6"/>
          </w:tcPr>
          <w:p w:rsidR="00951458" w:rsidRDefault="00382B3D">
            <w:r>
              <w:rPr>
                <w:b/>
                <w:sz w:val="18"/>
              </w:rPr>
              <w:t>Page</w:t>
            </w:r>
          </w:p>
        </w:tc>
        <w:tc>
          <w:tcPr>
            <w:tcW w:w="2268" w:type="dxa"/>
            <w:shd w:val="clear" w:color="auto" w:fill="E7E6E6"/>
          </w:tcPr>
          <w:p w:rsidR="00951458" w:rsidRDefault="00382B3D">
            <w:r>
              <w:rPr>
                <w:b/>
                <w:sz w:val="18"/>
              </w:rPr>
              <w:t>But</w:t>
            </w:r>
          </w:p>
        </w:tc>
        <w:tc>
          <w:tcPr>
            <w:tcW w:w="4819" w:type="dxa"/>
            <w:shd w:val="clear" w:color="auto" w:fill="E7E6E6"/>
          </w:tcPr>
          <w:p w:rsidR="00951458" w:rsidRDefault="00382B3D">
            <w:r>
              <w:rPr>
                <w:b/>
                <w:sz w:val="18"/>
              </w:rPr>
              <w:t>Éléments clés</w:t>
            </w:r>
          </w:p>
        </w:tc>
      </w:tr>
      <w:tr w:rsidR="00951458" w:rsidRPr="00C8503D">
        <w:trPr>
          <w:jc w:val="center"/>
        </w:trPr>
        <w:tc>
          <w:tcPr>
            <w:tcW w:w="2268" w:type="dxa"/>
          </w:tcPr>
          <w:p w:rsidR="00951458" w:rsidRDefault="00382B3D">
            <w:r>
              <w:rPr>
                <w:sz w:val="18"/>
              </w:rPr>
              <w:t>01 — Vue Globale</w:t>
            </w:r>
          </w:p>
        </w:tc>
        <w:tc>
          <w:tcPr>
            <w:tcW w:w="2268" w:type="dxa"/>
          </w:tcPr>
          <w:p w:rsidR="00951458" w:rsidRDefault="00382B3D">
            <w:r>
              <w:rPr>
                <w:sz w:val="18"/>
              </w:rPr>
              <w:t>Vue d’ensemble</w:t>
            </w:r>
          </w:p>
        </w:tc>
        <w:tc>
          <w:tcPr>
            <w:tcW w:w="4819" w:type="dxa"/>
          </w:tcPr>
          <w:p w:rsidR="00951458" w:rsidRPr="00C8503D" w:rsidRDefault="00382B3D">
            <w:pPr>
              <w:rPr>
                <w:lang w:val="fr-FR"/>
              </w:rPr>
            </w:pPr>
            <w:r w:rsidRPr="00C8503D">
              <w:rPr>
                <w:sz w:val="18"/>
                <w:lang w:val="fr-FR"/>
              </w:rPr>
              <w:t>KPIs, tendance mensuelle, répartition DPE, carte, table par département.</w:t>
            </w:r>
          </w:p>
        </w:tc>
      </w:tr>
      <w:tr w:rsidR="00951458" w:rsidRPr="00C8503D">
        <w:trPr>
          <w:jc w:val="center"/>
        </w:trPr>
        <w:tc>
          <w:tcPr>
            <w:tcW w:w="2268" w:type="dxa"/>
          </w:tcPr>
          <w:p w:rsidR="00951458" w:rsidRDefault="00382B3D">
            <w:r>
              <w:rPr>
                <w:sz w:val="18"/>
              </w:rPr>
              <w:t xml:space="preserve">02 — </w:t>
            </w:r>
            <w:proofErr w:type="spellStart"/>
            <w:r>
              <w:rPr>
                <w:sz w:val="18"/>
              </w:rPr>
              <w:t>Analyse</w:t>
            </w:r>
            <w:proofErr w:type="spellEnd"/>
            <w:r>
              <w:rPr>
                <w:sz w:val="18"/>
              </w:rPr>
              <w:t xml:space="preserve"> Technique</w:t>
            </w:r>
          </w:p>
        </w:tc>
        <w:tc>
          <w:tcPr>
            <w:tcW w:w="2268" w:type="dxa"/>
          </w:tcPr>
          <w:p w:rsidR="00951458" w:rsidRDefault="00382B3D">
            <w:r>
              <w:rPr>
                <w:sz w:val="18"/>
              </w:rPr>
              <w:t>Coûts &amp; facteurs</w:t>
            </w:r>
          </w:p>
        </w:tc>
        <w:tc>
          <w:tcPr>
            <w:tcW w:w="4819" w:type="dxa"/>
          </w:tcPr>
          <w:p w:rsidR="00951458" w:rsidRPr="00C8503D" w:rsidRDefault="00382B3D">
            <w:pPr>
              <w:rPr>
                <w:lang w:val="fr-FR"/>
              </w:rPr>
            </w:pPr>
            <w:r w:rsidRPr="00C8503D">
              <w:rPr>
                <w:sz w:val="18"/>
                <w:lang w:val="fr-FR"/>
              </w:rPr>
              <w:t>KPIs coût/conso, coût vs DPE, bâtiment, chauffage.</w:t>
            </w:r>
          </w:p>
        </w:tc>
      </w:tr>
      <w:tr w:rsidR="00951458" w:rsidRPr="00C8503D">
        <w:trPr>
          <w:jc w:val="center"/>
        </w:trPr>
        <w:tc>
          <w:tcPr>
            <w:tcW w:w="2268" w:type="dxa"/>
          </w:tcPr>
          <w:p w:rsidR="00951458" w:rsidRDefault="00382B3D">
            <w:r>
              <w:rPr>
                <w:sz w:val="18"/>
              </w:rPr>
              <w:t xml:space="preserve">03 — </w:t>
            </w:r>
            <w:proofErr w:type="spellStart"/>
            <w:r>
              <w:rPr>
                <w:sz w:val="18"/>
              </w:rPr>
              <w:t>Comparateur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Territorial</w:t>
            </w:r>
          </w:p>
        </w:tc>
        <w:tc>
          <w:tcPr>
            <w:tcW w:w="2268" w:type="dxa"/>
          </w:tcPr>
          <w:p w:rsidR="00951458" w:rsidRDefault="00382B3D">
            <w:r>
              <w:rPr>
                <w:sz w:val="18"/>
              </w:rPr>
              <w:t>Comparer A vs B</w:t>
            </w:r>
          </w:p>
        </w:tc>
        <w:tc>
          <w:tcPr>
            <w:tcW w:w="4819" w:type="dxa"/>
          </w:tcPr>
          <w:p w:rsidR="00951458" w:rsidRPr="00C8503D" w:rsidRDefault="00382B3D">
            <w:pPr>
              <w:rPr>
                <w:lang w:val="fr-FR"/>
              </w:rPr>
            </w:pPr>
            <w:r w:rsidRPr="00C8503D">
              <w:rPr>
                <w:sz w:val="18"/>
                <w:lang w:val="fr-FR"/>
              </w:rPr>
              <w:t>Deux panneaux miroirs, sélection commune, KPIs, jauge.</w:t>
            </w:r>
          </w:p>
        </w:tc>
      </w:tr>
      <w:tr w:rsidR="00951458" w:rsidRPr="00C8503D">
        <w:trPr>
          <w:jc w:val="center"/>
        </w:trPr>
        <w:tc>
          <w:tcPr>
            <w:tcW w:w="2268" w:type="dxa"/>
          </w:tcPr>
          <w:p w:rsidR="00951458" w:rsidRDefault="00382B3D">
            <w:r>
              <w:rPr>
                <w:sz w:val="18"/>
              </w:rPr>
              <w:t>04 — Monitoring des Performances</w:t>
            </w:r>
          </w:p>
        </w:tc>
        <w:tc>
          <w:tcPr>
            <w:tcW w:w="2268" w:type="dxa"/>
          </w:tcPr>
          <w:p w:rsidR="00951458" w:rsidRDefault="00382B3D">
            <w:r>
              <w:rPr>
                <w:sz w:val="18"/>
              </w:rPr>
              <w:t>Justifier &amp; monitorer</w:t>
            </w:r>
          </w:p>
        </w:tc>
        <w:tc>
          <w:tcPr>
            <w:tcW w:w="4819" w:type="dxa"/>
          </w:tcPr>
          <w:p w:rsidR="00951458" w:rsidRPr="00C8503D" w:rsidRDefault="00382B3D">
            <w:pPr>
              <w:rPr>
                <w:lang w:val="fr-FR"/>
              </w:rPr>
            </w:pPr>
            <w:r w:rsidRPr="00C8503D">
              <w:rPr>
                <w:sz w:val="18"/>
                <w:lang w:val="fr-FR"/>
              </w:rPr>
              <w:t>Preuve perf (&lt; 500 ms), suivi des données, schéma en étoile.</w:t>
            </w:r>
          </w:p>
        </w:tc>
      </w:tr>
    </w:tbl>
    <w:p w:rsidR="00951458" w:rsidRDefault="00382B3D">
      <w:pPr>
        <w:pStyle w:val="1"/>
      </w:pPr>
      <w:r>
        <w:t>5. KPIs (définitions)</w:t>
      </w:r>
    </w:p>
    <w:p w:rsidR="00951458" w:rsidRPr="00C8503D" w:rsidRDefault="00382B3D">
      <w:pPr>
        <w:pStyle w:val="a0"/>
        <w:rPr>
          <w:lang w:val="fr-FR"/>
        </w:rPr>
      </w:pPr>
      <w:r w:rsidRPr="00C8503D">
        <w:rPr>
          <w:lang w:val="fr-FR"/>
        </w:rPr>
        <w:t>Nombre DPE : nombre d’enregistrem</w:t>
      </w:r>
      <w:r w:rsidRPr="00C8503D">
        <w:rPr>
          <w:lang w:val="fr-FR"/>
        </w:rPr>
        <w:t>ents dans le périmètre filtré.</w:t>
      </w:r>
    </w:p>
    <w:p w:rsidR="00951458" w:rsidRPr="00C8503D" w:rsidRDefault="00382B3D">
      <w:pPr>
        <w:pStyle w:val="a0"/>
        <w:rPr>
          <w:lang w:val="fr-FR"/>
        </w:rPr>
      </w:pPr>
      <w:r w:rsidRPr="00C8503D">
        <w:rPr>
          <w:lang w:val="fr-FR"/>
        </w:rPr>
        <w:t>Conso Moyenne (kWh/m²) : moyenne de la consommation (kWh/m²).</w:t>
      </w:r>
    </w:p>
    <w:p w:rsidR="00951458" w:rsidRPr="00C8503D" w:rsidRDefault="00382B3D">
      <w:pPr>
        <w:pStyle w:val="a0"/>
        <w:rPr>
          <w:lang w:val="fr-FR"/>
        </w:rPr>
      </w:pPr>
      <w:r w:rsidRPr="00C8503D">
        <w:rPr>
          <w:lang w:val="fr-FR"/>
        </w:rPr>
        <w:t>Évolution Conso % : évolution vs N‑1.</w:t>
      </w:r>
    </w:p>
    <w:p w:rsidR="00951458" w:rsidRPr="00C8503D" w:rsidRDefault="00382B3D">
      <w:pPr>
        <w:pStyle w:val="a0"/>
        <w:rPr>
          <w:lang w:val="fr-FR"/>
        </w:rPr>
      </w:pPr>
      <w:r w:rsidRPr="00C8503D">
        <w:rPr>
          <w:lang w:val="fr-FR"/>
        </w:rPr>
        <w:t>Coût Moyen Annuel / Coût Chauffage : moyennes en €.</w:t>
      </w:r>
    </w:p>
    <w:p w:rsidR="00951458" w:rsidRPr="00C8503D" w:rsidRDefault="00382B3D">
      <w:pPr>
        <w:pStyle w:val="a0"/>
        <w:rPr>
          <w:lang w:val="fr-FR"/>
        </w:rPr>
      </w:pPr>
      <w:r w:rsidRPr="00C8503D">
        <w:rPr>
          <w:lang w:val="fr-FR"/>
        </w:rPr>
        <w:t>Conso Moyenne Nationale : valeur de référence nationale (benchmark).</w:t>
      </w:r>
    </w:p>
    <w:p w:rsidR="00951458" w:rsidRPr="00C8503D" w:rsidRDefault="00382B3D">
      <w:pPr>
        <w:pStyle w:val="a0"/>
        <w:rPr>
          <w:lang w:val="fr-FR"/>
        </w:rPr>
      </w:pPr>
      <w:r w:rsidRPr="00C8503D">
        <w:rPr>
          <w:lang w:val="fr-FR"/>
        </w:rPr>
        <w:t>Dernière Date : date la plus récente dans les données.</w:t>
      </w:r>
    </w:p>
    <w:p w:rsidR="00951458" w:rsidRPr="00C8503D" w:rsidRDefault="00382B3D">
      <w:pPr>
        <w:pStyle w:val="a0"/>
        <w:rPr>
          <w:lang w:val="fr-FR"/>
        </w:rPr>
      </w:pPr>
      <w:r w:rsidRPr="00C8503D">
        <w:rPr>
          <w:lang w:val="fr-FR"/>
        </w:rPr>
        <w:t>Couverture géo : volume géolocalisable pour la carte.</w:t>
      </w:r>
    </w:p>
    <w:p w:rsidR="00951458" w:rsidRPr="00C8503D" w:rsidRDefault="00382B3D">
      <w:pPr>
        <w:pStyle w:val="a0"/>
        <w:rPr>
          <w:lang w:val="fr-FR"/>
        </w:rPr>
      </w:pPr>
      <w:r w:rsidRPr="00C8503D">
        <w:rPr>
          <w:lang w:val="fr-FR"/>
        </w:rPr>
        <w:t>% DPE A ou B : part des classes A ou B.</w:t>
      </w:r>
      <w:bookmarkStart w:id="0" w:name="_GoBack"/>
      <w:bookmarkEnd w:id="0"/>
    </w:p>
    <w:p w:rsidR="00951458" w:rsidRPr="00C8503D" w:rsidRDefault="00951458" w:rsidP="00382B3D">
      <w:pPr>
        <w:pStyle w:val="a0"/>
        <w:numPr>
          <w:ilvl w:val="0"/>
          <w:numId w:val="0"/>
        </w:numPr>
        <w:ind w:left="360"/>
        <w:rPr>
          <w:lang w:val="fr-FR"/>
        </w:rPr>
      </w:pPr>
    </w:p>
    <w:sectPr w:rsidR="00951458" w:rsidRPr="00C8503D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2B3D"/>
    <w:rsid w:val="00951458"/>
    <w:rsid w:val="00AA1D8D"/>
    <w:rsid w:val="00B47730"/>
    <w:rsid w:val="00C8503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F85DEF"/>
  <w14:defaultImageDpi w14:val="300"/>
  <w15:docId w15:val="{8915744C-FE09-46BE-B204-3B07A7034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Calibri" w:eastAsia="Calibri" w:hAnsi="Calibri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815D709-3633-45AB-A907-FFA3D7D414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211</Words>
  <Characters>1209</Characters>
  <Application>Microsoft Office Word</Application>
  <DocSecurity>0</DocSecurity>
  <Lines>10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Пользователь Windows</cp:lastModifiedBy>
  <cp:revision>5</cp:revision>
  <dcterms:created xsi:type="dcterms:W3CDTF">2013-12-23T23:15:00Z</dcterms:created>
  <dcterms:modified xsi:type="dcterms:W3CDTF">2026-02-07T22:07:00Z</dcterms:modified>
  <cp:category/>
</cp:coreProperties>
</file>