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orresponde a las fuentes de energía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no </w:t>
      </w:r>
      <w:r>
        <w:rPr>
          <w:rFonts w:ascii="Times New Roman" w:eastAsiaTheme="minorEastAsia" w:hAnsi="Times New Roman" w:cs="Times New Roman"/>
          <w:sz w:val="24"/>
          <w:szCs w:val="24"/>
        </w:rPr>
        <w:t>renovables: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 gas natural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hidráulica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eólica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oceánica</w:t>
      </w:r>
    </w:p>
    <w:p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solar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