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 respecto a la </w:t>
      </w:r>
      <w:r>
        <w:rPr>
          <w:rFonts w:ascii="Times New Roman" w:hAnsi="Times New Roman" w:cs="Times New Roman"/>
          <w:sz w:val="24"/>
          <w:szCs w:val="24"/>
        </w:rPr>
        <w:t>clasificación</w:t>
      </w:r>
      <w:r>
        <w:rPr>
          <w:rFonts w:ascii="Times New Roman" w:hAnsi="Times New Roman" w:cs="Times New Roman"/>
          <w:sz w:val="24"/>
          <w:szCs w:val="24"/>
        </w:rPr>
        <w:t xml:space="preserve"> de los derechos humanos, es considerado como un derecho de primera generación: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Derecho a la libertad de conciencia y religión </w:t>
      </w:r>
    </w:p>
    <w:p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Derecho a la protección de la salud </w:t>
      </w:r>
    </w:p>
    <w:p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Derecho a </w:t>
      </w:r>
      <w:r>
        <w:rPr>
          <w:rFonts w:ascii="Times New Roman" w:hAnsi="Times New Roman" w:cs="Times New Roman"/>
          <w:sz w:val="24"/>
          <w:szCs w:val="24"/>
        </w:rPr>
        <w:t>alcanzar</w:t>
      </w:r>
      <w:r>
        <w:rPr>
          <w:rFonts w:ascii="Times New Roman" w:hAnsi="Times New Roman" w:cs="Times New Roman"/>
          <w:sz w:val="24"/>
          <w:szCs w:val="24"/>
        </w:rPr>
        <w:t xml:space="preserve"> un nivel de vida adecuado </w:t>
      </w:r>
    </w:p>
    <w:p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Derecho a la protección del medio ambiente </w:t>
      </w:r>
    </w:p>
    <w:p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Derecho a la paz 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