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Tahuantinsuyo estaba dividido en dos parcialidades: </w:t>
      </w:r>
      <w:r>
        <w:rPr>
          <w:rFonts w:ascii="Times New Roman" w:eastAsiaTheme="minorEastAsia" w:hAnsi="Times New Roman" w:cs="Times New Roman"/>
          <w:sz w:val="24"/>
          <w:szCs w:val="24"/>
        </w:rPr>
        <w:t>Hanan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w:r>
        <w:rPr>
          <w:rFonts w:ascii="Times New Roman" w:eastAsiaTheme="minorEastAsia" w:hAnsi="Times New Roman" w:cs="Times New Roman"/>
          <w:sz w:val="24"/>
          <w:szCs w:val="24"/>
        </w:rPr>
        <w:t>Urín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según la cosmovisión andina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y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 su vez, estos, se dividían en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cuatro </w:t>
      </w:r>
      <w:r>
        <w:rPr>
          <w:rFonts w:ascii="Times New Roman" w:eastAsiaTheme="minorEastAsia" w:hAnsi="Times New Roman" w:cs="Times New Roman"/>
          <w:sz w:val="24"/>
          <w:szCs w:val="24"/>
        </w:rPr>
        <w:t>suyos.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alternativa </w:t>
      </w:r>
      <w:r>
        <w:rPr>
          <w:rFonts w:ascii="Times New Roman" w:hAnsi="Times New Roman" w:cs="Times New Roman"/>
          <w:sz w:val="24"/>
          <w:szCs w:val="24"/>
        </w:rPr>
        <w:t>incorrecta: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Hatunsuyo</w:t>
      </w: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Chinchaysuyo</w:t>
      </w: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Collasuyo</w:t>
      </w: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Antisuyo</w:t>
      </w: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Contisuyo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