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corresponde a la taxonomía moderna: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reino </w:t>
      </w:r>
      <w:r>
        <w:rPr>
          <w:rFonts w:ascii="Times New Roman" w:hAnsi="Times New Roman" w:cs="Times New Roman"/>
          <w:sz w:val="24"/>
          <w:szCs w:val="24"/>
          <w:highlight w:val="yellow"/>
        </w:rPr>
        <w:t>viridae</w:t>
      </w:r>
    </w:p>
    <w:p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reino animalia</w:t>
      </w:r>
    </w:p>
    <w:p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reino protista</w:t>
      </w:r>
    </w:p>
    <w:p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reino </w:t>
      </w:r>
      <w:r>
        <w:rPr>
          <w:rFonts w:ascii="Times New Roman" w:hAnsi="Times New Roman" w:cs="Times New Roman"/>
          <w:sz w:val="24"/>
          <w:szCs w:val="24"/>
        </w:rPr>
        <w:t>fungi</w:t>
      </w:r>
    </w:p>
    <w:p>
      <w:pPr>
        <w:pStyle w:val="Prrafodelista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reino </w:t>
      </w:r>
      <w:r>
        <w:rPr>
          <w:rFonts w:ascii="Times New Roman" w:hAnsi="Times New Roman" w:cs="Times New Roman"/>
          <w:sz w:val="24"/>
          <w:szCs w:val="24"/>
        </w:rPr>
        <w:t>plantae</w:t>
      </w:r>
    </w:p>
    <w:p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