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0387EEC4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¿Cuál es el interés que produce S/. 2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400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colocada a una tasa de 10% en 2 años?</w:t>
      </w:r>
    </w:p>
    <w:p ns2:paraId="10DF7D38" ns2:textId="77777777">
      <w:pPr>
        <w:pStyle w:val="Prrafodelista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ns2:paraId="68D380AB" ns2:textId="77777777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  <w:highlight w:val="yellow"/>
        </w:rPr>
        <w:t xml:space="preserve">480 </w:t>
      </w:r>
    </w:p>
    <w:p ns2:paraId="14FC0A39" ns2:textId="77777777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500</w:t>
      </w:r>
    </w:p>
    <w:p ns2:paraId="2420E7FA" ns2:textId="77777777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200</w:t>
      </w:r>
    </w:p>
    <w:p ns2:paraId="1D702F4C" ns2:textId="77777777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180</w:t>
      </w:r>
    </w:p>
    <w:p ns2:paraId="73D34967" ns2:textId="77777777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480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0</w:t>
      </w:r>
    </w:p>
    <w:p ns2:paraId="0BB3E99C" ns2:textId="77777777">
      <w:pPr>
        <w:pStyle w:val="Prrafodelista"/>
        <w:ind w:left="108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