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1015BC73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La cifra de las centenas de un número de 3 cifras vale </w:t>
      </w:r>
      <m:oMath>
        <m:f>
          <m:fPr>
            <m:ctrlPr>
              <w:rPr>
                <w:rFonts w:ascii="Cambria Math" w:hAnsi="Cambria Math" w:cs="Times New Roman"/>
                <w:i/>
                <w:color w:val="0D0D0D" w:themeColor="text1" w:themeTint="F2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 de la cifra de las unidades y la cifra de las decenas es </w:t>
      </w:r>
      <m:oMath>
        <m:f>
          <m:fPr>
            <m:ctrlPr>
              <w:rPr>
                <w:rFonts w:ascii="Cambria Math" w:hAnsi="Cambria Math" w:cs="Times New Roman"/>
                <w:i/>
                <w:color w:val="0D0D0D" w:themeColor="text1" w:themeTint="F2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 de suma de las otras dos</w:t>
      </w:r>
      <w:r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>,</w:t>
      </w:r>
      <w:r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 el número es:</w:t>
      </w:r>
    </w:p>
    <w:p ns2:paraId="2CEB32CA" ns2:textId="77777777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56082CE6" ns2:textId="77777777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Mayor que 300 y menor que 400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 xml:space="preserve"> </w:t>
      </w:r>
    </w:p>
    <w:p ns2:paraId="12AF5244" ns2:textId="77777777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Mayor que 400</w:t>
      </w:r>
    </w:p>
    <w:p ns2:paraId="6AF3C4F4" ns2:textId="77777777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Mayor que 300</w:t>
      </w:r>
    </w:p>
    <w:p ns2:paraId="24D7C512" ns2:textId="77777777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Mayor que 500</w:t>
      </w:r>
    </w:p>
    <w:p ns2:paraId="04B003E8" ns2:textId="77777777">
      <w:pPr>
        <w:pStyle w:val="Prrafodelista"/>
        <w:numPr>
          <w:ilvl w:val="0"/>
          <w:numId w:val="13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Mayor que 400 y menor que 500</w:t>
      </w:r>
    </w:p>
    <w:p ns2:paraId="6F928FE1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