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657372DC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En el signo lingüístico, el principio de la linealidad es comprobable mediante la:</w:t>
      </w:r>
    </w:p>
    <w:p ns2:paraId="190A55B0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3C860CC4" ns2:textId="77777777">
      <w:pPr>
        <w:pStyle w:val="Prrafodelista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Articulación</w:t>
      </w:r>
    </w:p>
    <w:p ns2:paraId="7DA48E25" ns2:textId="77777777">
      <w:pPr>
        <w:pStyle w:val="Prrafodelista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Sincronía</w:t>
      </w:r>
    </w:p>
    <w:p ns2:paraId="2CEE2491" ns2:textId="77777777">
      <w:pPr>
        <w:pStyle w:val="Prrafodelista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Sintaxis</w:t>
      </w:r>
    </w:p>
    <w:p ns2:paraId="46FDA3B8" ns2:textId="77777777">
      <w:pPr>
        <w:pStyle w:val="Prrafodelista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Arbitrariedad</w:t>
      </w:r>
    </w:p>
    <w:p ns2:paraId="0B7EA9E8" ns2:textId="77777777">
      <w:pPr>
        <w:pStyle w:val="Prrafodelista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Diacromía</w:t>
      </w:r>
    </w:p>
    <w:p ns2:paraId="1548D784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