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693C89AC" ns2:textId="77777777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 la acentuación de palabras que cumplen distintas funciones dentro de una oración, y dicha  variación de funciones se distingue por la presencia o ausencia de tilde. Este concepto corresponde a la tildación …</w:t>
      </w:r>
    </w:p>
    <w:p ns2:paraId="527A8D8F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ns2:paraId="42958D60" ns2:textId="77777777">
      <w:pPr>
        <w:pStyle w:val="Prrafodelista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diacrítica</w:t>
      </w:r>
    </w:p>
    <w:p ns2:paraId="7E5D8153" ns2:textId="77777777">
      <w:pPr>
        <w:pStyle w:val="Prrafodelista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di</w:t>
      </w:r>
      <w:r>
        <w:rPr>
          <w:rFonts w:ascii="Times New Roman" w:hAnsi="Times New Roman" w:cs="Times New Roman"/>
          <w:sz w:val="24"/>
          <w:szCs w:val="24"/>
        </w:rPr>
        <w:t>erética</w:t>
      </w:r>
    </w:p>
    <w:p ns2:paraId="64374B1B" ns2:textId="77777777">
      <w:pPr>
        <w:pStyle w:val="Prrafodelista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enfática</w:t>
      </w:r>
    </w:p>
    <w:p ns2:paraId="384931B0" ns2:textId="77777777">
      <w:pPr>
        <w:pStyle w:val="Prrafodelista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rubórica</w:t>
      </w:r>
    </w:p>
    <w:p ns2:paraId="6B03EF79" ns2:textId="77777777">
      <w:pPr>
        <w:pStyle w:val="Prrafodelista"/>
        <w:numPr>
          <w:ilvl w:val="0"/>
          <w:numId w:val="4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hipertónica</w:t>
      </w:r>
    </w:p>
    <w:p ns2:paraId="1106DA30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