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8389948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Señalar el factor primo cuadrático de mayor suma de coeficientes en:</w:t>
      </w:r>
    </w:p>
    <w:p ns2:paraId="1E5D315B" ns2:textId="77777777">
      <w:pPr>
        <w:pStyle w:val="Prrafodelista"/>
        <w:jc w:val="both"/>
        <w:rPr>
          <w:rFonts w:ascii="Times New Roman" w:hAnsi="Times New Roman" w:cs="Times New Roman"/>
          <w:sz w:val="20"/>
          <w:szCs w:val="20"/>
        </w:rPr>
      </w:pPr>
    </w:p>
    <w:p ns2:paraId="783B2D7F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-4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+11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-14m+10</m:t>
          </m:r>
        </m:oMath>
      </m:oMathPara>
    </w:p>
    <w:p ns2:paraId="114D5F3F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604B9BF9" ns2:textId="77777777">
      <w:pPr>
        <w:pStyle w:val="Prrafodelista"/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-2m+5</m:t>
        </m:r>
      </m:oMath>
    </w:p>
    <w:p ns2:paraId="4FAB801D" ns2:textId="77777777">
      <w:pPr>
        <w:pStyle w:val="Prrafodelista"/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-2m+2</m:t>
        </m:r>
      </m:oMath>
    </w:p>
    <w:p ns2:paraId="015EBE84" ns2:textId="77777777">
      <w:pPr>
        <w:pStyle w:val="Prrafodelista"/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+3m+2</m:t>
        </m:r>
      </m:oMath>
    </w:p>
    <w:p ns2:paraId="2ABF8999" ns2:textId="77777777">
      <w:pPr>
        <w:pStyle w:val="Prrafodelista"/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-4m-2</m:t>
        </m:r>
      </m:oMath>
    </w:p>
    <w:p ns2:paraId="110E7C8A" ns2:textId="77777777">
      <w:pPr>
        <w:pStyle w:val="Prrafodelista"/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+4m+2</m:t>
        </m:r>
      </m:oMath>
    </w:p>
    <w:p ns2:paraId="73CC83D2" ns2:textId="777777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