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ÀLGEBRA (Cuota: 1)</w:t>
      </w:r>
    </w:p>
    <w:p w:rsidR="004B1313" w:rsidRPr="003A7698" w:rsidRDefault="004B1313" w:rsidP="004B13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:rsidR="004B1313" w:rsidRPr="003A7698" w:rsidRDefault="004B1313" w:rsidP="004B1313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w:rsidR="004376E8" w:rsidRDefault="004376E8">
      <w:bookmarkStart w:id="0" w:name="_GoBack"/>
      <w:bookmarkEnd w:id="0"/>
    </w:p>
    <w:p>
      <w:pPr>
        <w:spacing w:after="0"/>
        <w:jc w:val="center"/>
      </w:pPr>
      <w:r>
        <w:rPr>
          <w:b/>
        </w:rPr>
        <w:t>ARITMÉTICA (Cuota: 2)</w:t>
      </w: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Las luces cambiantes de un semáforo, conforman un elemento de la comunicación, denominado:</w:t>
      </w:r>
    </w:p>
    <w:p w:rsidR="00B33FAF" w:rsidRPr="00751676" w:rsidRDefault="00B33FAF" w:rsidP="00B33F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Código</w:t>
      </w:r>
    </w:p>
    <w:p w:rsidR="00B77027" w:rsidRPr="00B77027" w:rsidRDefault="00B77027" w:rsidP="00B770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Emisor</w:t>
      </w:r>
    </w:p>
    <w:p w:rsidR="00B77027" w:rsidRPr="00B77027" w:rsidRDefault="00B77027" w:rsidP="00B770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Canal</w:t>
      </w:r>
    </w:p>
    <w:p w:rsidR="00B77027" w:rsidRPr="00B77027" w:rsidRDefault="00B77027" w:rsidP="00B770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Mensaje</w:t>
      </w:r>
    </w:p>
    <w:p w:rsidR="00B77027" w:rsidRPr="00B77027" w:rsidRDefault="00B77027" w:rsidP="00B770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Referente</w:t>
      </w:r>
    </w:p>
    <w:p w:rsidR="00A563F2" w:rsidRPr="00751676" w:rsidRDefault="00A563F2" w:rsidP="00A563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7027">
        <w:rPr>
          <w:rFonts w:ascii="Times New Roman" w:eastAsiaTheme="minorEastAsia" w:hAnsi="Times New Roman" w:cs="Times New Roman"/>
          <w:sz w:val="24"/>
          <w:szCs w:val="24"/>
        </w:rPr>
        <w:t>El conocimiento profundo y técnico que posee el emisor sobre el mensaje que imparte para que sea fácilmente comprendido por el receptor se refiere al factor de la comunicación, identificado como:</w:t>
      </w:r>
    </w:p>
    <w:p w:rsidR="00A563F2" w:rsidRPr="00751676" w:rsidRDefault="00A563F2" w:rsidP="00A563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Nivel de conocimientos</w:t>
      </w:r>
    </w:p>
    <w:p w:rsidR="00B77027" w:rsidRPr="00B77027" w:rsidRDefault="00B77027" w:rsidP="00B770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Facilidad lexicográfica</w:t>
      </w:r>
    </w:p>
    <w:p w:rsidR="00B77027" w:rsidRPr="00B77027" w:rsidRDefault="00B77027" w:rsidP="00B770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Factor actitudinal</w:t>
      </w:r>
    </w:p>
    <w:p w:rsidR="00B77027" w:rsidRPr="00B77027" w:rsidRDefault="00B77027" w:rsidP="00B770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Contexto sociocultural</w:t>
      </w:r>
    </w:p>
    <w:p w:rsidR="00A563F2" w:rsidRDefault="00B77027" w:rsidP="00B770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Empatía comunicativa</w:t>
      </w:r>
    </w:p>
    <w:p w:rsidR="00B77027" w:rsidRPr="00B77027" w:rsidRDefault="00B77027" w:rsidP="00B770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7D06B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B6175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>
    <w:nsid w:val="03DD1678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>
    <w:nsid w:val="004BE68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>
    <w:nsid w:val="033B02D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>
    <w:abstractNumId w:val="1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