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ÀLGEBRA (Cuota: 3)</w:t>
      </w:r>
    </w:p>
    <w:p w:rsidR="00A563F2" w:rsidRPr="00751676" w:rsidRDefault="00B77027" w:rsidP="00B770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Las luces cambiantes de un semáforo, conforman un elemento de la comunicación, denominado:</w:t>
      </w:r>
    </w:p>
    <w:p w:rsidR="00B33FAF" w:rsidRPr="00751676" w:rsidRDefault="00B33FAF" w:rsidP="00B33F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Código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Emisor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Canal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Mensaje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Referente</w:t>
      </w:r>
    </w:p>
    <w:p w:rsidR="00A563F2" w:rsidRPr="00751676" w:rsidRDefault="00A563F2" w:rsidP="00A563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B77027" w:rsidP="00B7702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77027">
        <w:rPr>
          <w:rFonts w:ascii="Times New Roman" w:eastAsiaTheme="minorEastAsia" w:hAnsi="Times New Roman" w:cs="Times New Roman"/>
          <w:sz w:val="24"/>
          <w:szCs w:val="24"/>
        </w:rPr>
        <w:t>El conocimiento profundo y técnico que posee el emisor sobre el mensaje que imparte para que sea fácilmente comprendido por el receptor se refiere al factor de la comunicación, identificado como:</w:t>
      </w:r>
    </w:p>
    <w:p w:rsidR="00A563F2" w:rsidRPr="00751676" w:rsidRDefault="00A563F2" w:rsidP="00A563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Nivel de conocimientos</w:t>
      </w:r>
    </w:p>
    <w:p w:rsidR="00B77027" w:rsidRPr="00B77027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Facilidad lexicográfica</w:t>
      </w:r>
    </w:p>
    <w:p w:rsidR="00B77027" w:rsidRPr="00B77027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Factor actitudinal</w:t>
      </w:r>
    </w:p>
    <w:p w:rsidR="00B77027" w:rsidRPr="00B77027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Contexto sociocultural</w:t>
      </w:r>
    </w:p>
    <w:p w:rsidR="00A563F2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Empatía comunicativa</w:t>
      </w:r>
    </w:p>
    <w:p w:rsidR="00B77027" w:rsidRPr="00B77027" w:rsidRDefault="00B77027" w:rsidP="00B770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B77027" w:rsidP="00B770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La expresión “Necesitamos que vengas pronto” cumple una función del lenguaje de tipo:</w:t>
      </w:r>
    </w:p>
    <w:p w:rsidR="00A563F2" w:rsidRPr="00751676" w:rsidRDefault="00A563F2" w:rsidP="00A563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conativa</w:t>
      </w:r>
    </w:p>
    <w:p w:rsidR="00B77027" w:rsidRPr="00B77027" w:rsidRDefault="00B77027" w:rsidP="00B770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emotiva</w:t>
      </w:r>
    </w:p>
    <w:p w:rsidR="00B77027" w:rsidRPr="00B77027" w:rsidRDefault="00B77027" w:rsidP="00B770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informativa</w:t>
      </w:r>
    </w:p>
    <w:p w:rsidR="00B77027" w:rsidRPr="00B77027" w:rsidRDefault="00B77027" w:rsidP="00B770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fáctica</w:t>
      </w:r>
    </w:p>
    <w:p w:rsidR="00B77027" w:rsidRPr="00B77027" w:rsidRDefault="00B77027" w:rsidP="00B770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metalingüística</w:t>
      </w:r>
    </w:p>
    <w:p w:rsidR="00C6558E" w:rsidRPr="00D57FB5" w:rsidRDefault="00C6558E" w:rsidP="00C6558E">
      <w:pPr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ARITMÉTICA (Cuota: 1)</w:t>
      </w:r>
    </w:p>
    <w:p w:rsidR="004B1313" w:rsidRPr="003A7698" w:rsidRDefault="004B1313" w:rsidP="004B13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w:rsidR="004B1313" w:rsidRPr="003A7698" w:rsidRDefault="004B1313" w:rsidP="004B1313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B1313" w:rsidRPr="003A7698" w:rsidRDefault="004B1313" w:rsidP="004B131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w:rsidR="004B1313" w:rsidRPr="003A7698" w:rsidRDefault="004B1313" w:rsidP="004B131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w:rsidR="004B1313" w:rsidRPr="003A7698" w:rsidRDefault="004B1313" w:rsidP="004B131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w:rsidR="004B1313" w:rsidRPr="003A7698" w:rsidRDefault="004B1313" w:rsidP="004B131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w:rsidR="004B1313" w:rsidRPr="003A7698" w:rsidRDefault="004B1313" w:rsidP="004B131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w:rsidR="004376E8" w:rsidRDefault="004376E8">
      <w:bookmarkStart w:id="0" w:name="_GoBack"/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F78DA7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>
    <w:nsid w:val="019AE1F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>
    <w:nsid w:val="01D6A78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>
    <w:nsid w:val="00F16B8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41E09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7FCA1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3"/>
    <w:lvlOverride w:ilvl="0">
      <w:startOverride w:val="1"/>
    </w:lvlOverride>
  </w:num>
  <w:num w:numId="17">
    <w:abstractNumId w:val="1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