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Señale el enunciado que no es una oración: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blanca ciudad rugiente y unánime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niño</w:t>
      </w:r>
      <w:r>
        <w:rPr>
          <w:rFonts w:ascii="Times New Roman" w:hAnsi="Times New Roman" w:cs="Times New Roman"/>
          <w:sz w:val="24"/>
          <w:szCs w:val="24"/>
        </w:rPr>
        <w:t xml:space="preserve"> vio sonreír al obrero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Despertó de súbito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veces protestaba con energía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obtuvo la victoria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