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 trapecio </w:t>
      </w:r>
      <m:oMath>
        <m:r>
          <w:rPr>
            <w:rFonts w:ascii="Cambria Math" w:hAnsi="Cambria Math" w:cs="Times New Roman"/>
            <w:sz w:val="24"/>
            <w:szCs w:val="24"/>
          </w:rPr>
          <m:t>ABCD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(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//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AD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),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punto medio de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calcular el área del triángulo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MCD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si el área del trapecio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44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22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2</m:t>
            </m:r>
          </m:sup>
        </m:sSup>
      </m:oMath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24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32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16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18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