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El rango de la función</w:t>
      </w:r>
      <w:r>
        <w:rPr>
          <w:rFonts w:ascii="Times New Roman" w:eastAsiaTheme="minorEastAsia" w:hAnsi="Times New Roman" w:cs="Times New Roman"/>
          <w:sz w:val="24"/>
          <w:szCs w:val="24"/>
        </w:rPr>
        <w:t>: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2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+1;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∈</m:t>
                  </m:r>
                  <m:d>
                    <m:dPr>
                      <m:begChr m:val="⟨"/>
                      <m:endChr m:val="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2,</m:t>
                      </m:r>
                      <m:d>
                        <m:dPr>
                          <m:begChr m:val=""/>
                          <m:endChr m:val="]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e>
                      </m:d>
                    </m:e>
                  </m:d>
                </m:e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x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</m:t>
                      </m:r>
                    </m:e>
                  </m:rad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 ;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x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∈</m:t>
                  </m:r>
                  <m:d>
                    <m:dPr>
                      <m:begChr m:val="⟨"/>
                      <m:endChr m:val="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1,</m:t>
                      </m:r>
                      <m:d>
                        <m:dPr>
                          <m:begChr m:val=""/>
                          <m:endChr m:val="]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4</m:t>
                          </m:r>
                        </m:e>
                      </m:d>
                    </m:e>
                  </m:d>
                </m:e>
              </m:eqArr>
            </m:e>
          </m:d>
        </m:oMath>
      </m:oMathPara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Resulta: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highlight w:val="yellow"/>
        </w:rPr>
      </w:pPr>
      <m:oMath>
        <m:d>
          <m:dPr>
            <m:begChr m:val="[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hAnsi="Cambria Math" w:cs="Times New Roman"/>
                <w:sz w:val="24"/>
                <w:szCs w:val="24"/>
              </w:rPr>
              <m:t>1,</m:t>
            </m:r>
            <m:d>
              <m:dPr>
                <m:begChr m:val=""/>
                <m:endChr m:val="⟩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5</m:t>
                </m:r>
              </m:e>
            </m:d>
          </m:e>
        </m:d>
      </m:oMath>
    </w:p>
    <w:p>
      <w:pPr>
        <w:pStyle w:val="Prrafodelist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m:oMath>
        <m:d>
          <m:dPr>
            <m:begChr m:val="⟨"/>
            <m:endChr m:val="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2,</m:t>
            </m:r>
            <m:d>
              <m:dPr>
                <m:begChr m:val=""/>
                <m:endChr m:val="⟩"/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5</m:t>
                </m:r>
              </m:e>
            </m:d>
          </m:e>
        </m:d>
      </m:oMath>
    </w:p>
    <w:p>
      <w:pPr>
        <w:pStyle w:val="Prrafodelist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m:oMath>
        <m:d>
          <m:dPr>
            <m:begChr m:val="["/>
            <m:endChr m:val="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0,</m:t>
            </m:r>
          </m:e>
        </m:d>
        <m:d>
          <m:dPr>
            <m:begChr m:val=""/>
            <m:endChr m:val="⟩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3</m:t>
                </m:r>
              </m:e>
            </m:rad>
          </m:e>
        </m:d>
      </m:oMath>
    </w:p>
    <w:p>
      <w:pPr>
        <w:pStyle w:val="Prrafodelist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m:oMath>
        <m:d>
          <m:dPr>
            <m:begChr m:val="⟨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0,</m:t>
            </m:r>
            <m:d>
              <m:dPr>
                <m:begChr m:val=""/>
                <m:endChr m:val="]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3</m:t>
                    </m:r>
                  </m:e>
                </m:rad>
              </m:e>
            </m:d>
          </m:e>
        </m:d>
      </m:oMath>
    </w:p>
    <w:p>
      <w:pPr>
        <w:pStyle w:val="Prrafodelist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m:oMath>
        <m:d>
          <m:dPr>
            <m:begChr m:val="⟨"/>
            <m:endChr m:val="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0,</m:t>
            </m:r>
            <m:d>
              <m:dPr>
                <m:begChr m:val=""/>
                <m:endChr m:val="⟩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5</m:t>
                </m:r>
              </m:e>
            </m:d>
          </m:e>
        </m:d>
      </m:oMath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br w:type="page"/>
      </w: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