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En la figura</w:t>
      </w:r>
      <w:r>
        <w:rPr>
          <w:rFonts w:ascii="Times New Roman" w:eastAsiaTheme="minorEastAsia" w:hAnsi="Times New Roman" w:cs="Times New Roman"/>
          <w:sz w:val="24"/>
          <w:szCs w:val="24"/>
        </w:rPr>
        <w:t>,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determinar la aceleración del bloque</w:t>
      </w:r>
      <w:r>
        <w:rPr>
          <w:rFonts w:ascii="Times New Roman" w:eastAsiaTheme="minorEastAsia" w:hAnsi="Times New Roman" w:cs="Times New Roman"/>
          <w:sz w:val="24"/>
          <w:szCs w:val="24"/>
        </w:rPr>
        <w:t>:</w:t>
      </w: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