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El Tahuantinsuyo estaba dividido en dos parcialidades: </w:t>
      </w:r>
      <w:r>
        <w:rPr>
          <w:rFonts w:ascii="Times New Roman" w:eastAsiaTheme="minorEastAsia" w:hAnsi="Times New Roman" w:cs="Times New Roman"/>
          <w:sz w:val="24"/>
          <w:szCs w:val="24"/>
        </w:rPr>
        <w:t>Hanan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y </w:t>
      </w:r>
      <w:r>
        <w:rPr>
          <w:rFonts w:ascii="Times New Roman" w:eastAsiaTheme="minorEastAsia" w:hAnsi="Times New Roman" w:cs="Times New Roman"/>
          <w:sz w:val="24"/>
          <w:szCs w:val="24"/>
        </w:rPr>
        <w:t>Urín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, según la cosmovisión andina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y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a su vez, estos, se dividían en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cuatro </w:t>
      </w:r>
      <w:r>
        <w:rPr>
          <w:rFonts w:ascii="Times New Roman" w:eastAsiaTheme="minorEastAsia" w:hAnsi="Times New Roman" w:cs="Times New Roman"/>
          <w:sz w:val="24"/>
          <w:szCs w:val="24"/>
        </w:rPr>
        <w:t>suyos.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Reconozca la alternativa </w:t>
      </w:r>
      <w:r>
        <w:rPr>
          <w:rFonts w:ascii="Times New Roman" w:hAnsi="Times New Roman" w:cs="Times New Roman"/>
          <w:sz w:val="24"/>
          <w:szCs w:val="24"/>
        </w:rPr>
        <w:t>incorrecta: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Hatunsuyo</w:t>
      </w:r>
    </w:p>
    <w:p>
      <w:pPr>
        <w:pStyle w:val="Prrafode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Chinchaysuyo</w:t>
      </w:r>
    </w:p>
    <w:p>
      <w:pPr>
        <w:pStyle w:val="Prrafode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Collasuyo</w:t>
      </w:r>
    </w:p>
    <w:p>
      <w:pPr>
        <w:pStyle w:val="Prrafode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Antisuyo</w:t>
      </w:r>
    </w:p>
    <w:p>
      <w:pPr>
        <w:pStyle w:val="Prrafodelista"/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Contisuyo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