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Don José de San </w:t>
      </w:r>
      <w:r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artín, instaló el primer Congreso Constituyente del Perú en el año</w:t>
      </w:r>
      <w:r>
        <w:rPr>
          <w:rFonts w:ascii="Times New Roman" w:hAnsi="Times New Roman" w:cs="Times New Roman"/>
          <w:sz w:val="24"/>
          <w:szCs w:val="24"/>
        </w:rPr>
        <w:t xml:space="preserve"> de</w:t>
      </w:r>
      <w:r>
        <w:rPr>
          <w:rFonts w:ascii="Times New Roman" w:hAnsi="Times New Roman" w:cs="Times New Roman"/>
          <w:sz w:val="24"/>
          <w:szCs w:val="24"/>
        </w:rPr>
        <w:t xml:space="preserve"> ________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yellow"/>
        </w:rPr>
        <w:t>822</w:t>
      </w:r>
    </w:p>
    <w:p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821</w:t>
      </w:r>
    </w:p>
    <w:p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825</w:t>
      </w:r>
    </w:p>
    <w:p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823</w:t>
      </w:r>
    </w:p>
    <w:p>
      <w:pPr>
        <w:pStyle w:val="Prrafodelista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828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